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17"/>
        <w:tblW w:w="93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3"/>
        <w:gridCol w:w="4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2" w:type="dxa"/>
            <w:tcBorders>
              <w:top w:val="nil"/>
              <w:left w:val="nil"/>
              <w:bottom w:val="nil"/>
              <w:right w:val="nil"/>
            </w:tcBorders>
          </w:tcPr>
          <w:p>
            <w:pPr>
              <w:ind w:firstLine="0"/>
              <w:rPr>
                <w:b/>
                <w:szCs w:val="28"/>
              </w:rPr>
            </w:pPr>
            <w:r>
              <w:rPr>
                <w:b/>
                <w:szCs w:val="28"/>
              </w:rPr>
              <w:t>MUNICIPIUL BUCUREȘTI</w:t>
            </w:r>
          </w:p>
        </w:tc>
        <w:tc>
          <w:tcPr>
            <w:tcW w:w="4370" w:type="dxa"/>
            <w:tcBorders>
              <w:top w:val="nil"/>
              <w:left w:val="nil"/>
              <w:bottom w:val="nil"/>
              <w:right w:val="nil"/>
            </w:tcBorders>
          </w:tcPr>
          <w:p>
            <w:pPr>
              <w:ind w:firstLine="0"/>
              <w:jc w:val="right"/>
              <w:rPr>
                <w:szCs w:val="28"/>
              </w:rPr>
            </w:pPr>
            <w:r>
              <w:rPr>
                <w:szCs w:val="28"/>
              </w:rPr>
              <w:t>PROIECT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2" w:type="dxa"/>
            <w:tcBorders>
              <w:top w:val="nil"/>
              <w:left w:val="nil"/>
              <w:bottom w:val="nil"/>
              <w:right w:val="nil"/>
            </w:tcBorders>
          </w:tcPr>
          <w:p>
            <w:pPr>
              <w:ind w:firstLine="0"/>
              <w:rPr>
                <w:b/>
                <w:szCs w:val="28"/>
              </w:rPr>
            </w:pPr>
            <w:r>
              <w:rPr>
                <w:b/>
                <w:szCs w:val="28"/>
              </w:rPr>
              <w:t>CONSILIUL LOCAL AL SECTORULUI 1</w:t>
            </w:r>
          </w:p>
        </w:tc>
        <w:tc>
          <w:tcPr>
            <w:tcW w:w="4370" w:type="dxa"/>
            <w:tcBorders>
              <w:top w:val="nil"/>
              <w:left w:val="nil"/>
              <w:bottom w:val="nil"/>
              <w:right w:val="nil"/>
            </w:tcBorders>
          </w:tcPr>
          <w:p>
            <w:pPr>
              <w:ind w:firstLine="0"/>
              <w:jc w:val="right"/>
              <w:rPr>
                <w:szCs w:val="28"/>
              </w:rPr>
            </w:pPr>
            <w:r>
              <w:rPr>
                <w:bCs/>
                <w:szCs w:val="28"/>
              </w:rPr>
              <w:t>Nr. .......................................</w:t>
            </w:r>
          </w:p>
        </w:tc>
      </w:tr>
    </w:tbl>
    <w:p>
      <w:pPr>
        <w:tabs>
          <w:tab w:val="left" w:pos="525"/>
        </w:tabs>
        <w:rPr>
          <w:rFonts w:cs="Times New Roman"/>
          <w:b/>
          <w:szCs w:val="24"/>
        </w:rPr>
      </w:pPr>
    </w:p>
    <w:p>
      <w:pPr>
        <w:jc w:val="center"/>
      </w:pPr>
      <w:r>
        <w:rPr>
          <w:rFonts w:cs="Times New Roman"/>
          <w:b/>
          <w:szCs w:val="24"/>
        </w:rPr>
        <w:t>HOTĂRÂRE</w:t>
      </w:r>
    </w:p>
    <w:p>
      <w:pPr>
        <w:jc w:val="center"/>
        <w:rPr>
          <w:rFonts w:hint="default" w:cs="Times New Roman"/>
          <w:b/>
          <w:bCs/>
          <w:i/>
          <w:iCs/>
          <w:szCs w:val="24"/>
          <w:lang w:val="en-US" w:eastAsia="ro-RO"/>
        </w:rPr>
      </w:pPr>
      <w:r>
        <w:rPr>
          <w:rFonts w:cs="Times New Roman"/>
          <w:b/>
          <w:bCs/>
          <w:i/>
          <w:iCs/>
          <w:szCs w:val="24"/>
        </w:rPr>
        <w:t xml:space="preserve">privind </w:t>
      </w:r>
      <w:r>
        <w:rPr>
          <w:rFonts w:hint="default" w:cs="Times New Roman"/>
          <w:b/>
          <w:bCs/>
          <w:i/>
          <w:iCs/>
          <w:szCs w:val="24"/>
          <w:lang w:val="ro-RO"/>
        </w:rPr>
        <w:t xml:space="preserve">ajustarea unor tarife ale activităților de salubrizare aferente Contratului de delegare a gestiunii prestării serviciilor de salubritate pe raza administrativă a Sectorului 1 București, cu nr.J077/S/30.06.2008, încheiat între Consiliul Local Sector 1 și Compania Romprest Service SA, precum și aprobarea eliminării unor cheltuieli din structura </w:t>
      </w:r>
      <w:r>
        <w:rPr>
          <w:rFonts w:hint="default" w:ascii="Times New Roman" w:hAnsi="Times New Roman" w:cs="Times New Roman"/>
          <w:b/>
          <w:bCs/>
          <w:i/>
          <w:iCs/>
          <w:szCs w:val="24"/>
          <w:lang w:val="en-US" w:eastAsia="ro-RO"/>
        </w:rPr>
        <w:t xml:space="preserve">tarifului de colectare, transport și depozitare deșeuri din activități din construcții și demolări și a </w:t>
      </w:r>
      <w:r>
        <w:rPr>
          <w:rFonts w:hint="default" w:cs="Times New Roman"/>
          <w:b/>
          <w:bCs/>
          <w:i/>
          <w:iCs/>
          <w:szCs w:val="24"/>
          <w:lang w:val="ro-RO"/>
        </w:rPr>
        <w:t xml:space="preserve">tarifului de </w:t>
      </w:r>
      <w:r>
        <w:rPr>
          <w:rFonts w:hint="default" w:ascii="Times New Roman" w:hAnsi="Times New Roman" w:cs="Times New Roman"/>
          <w:b/>
          <w:bCs/>
          <w:i/>
          <w:iCs/>
          <w:szCs w:val="24"/>
          <w:lang w:val="en-US" w:eastAsia="ro-RO"/>
        </w:rPr>
        <w:t xml:space="preserve">colectare, transport, depozitare și valorificare deșeuri voluminoase, din contractul de delegare </w:t>
      </w:r>
      <w:r>
        <w:rPr>
          <w:rFonts w:hint="default" w:cs="Times New Roman"/>
          <w:b/>
          <w:bCs/>
          <w:i/>
          <w:iCs/>
          <w:szCs w:val="24"/>
          <w:lang w:val="en-US" w:eastAsia="ro-RO"/>
        </w:rPr>
        <w:t>anterior menționat</w:t>
      </w:r>
    </w:p>
    <w:p>
      <w:pPr>
        <w:jc w:val="center"/>
        <w:rPr>
          <w:rFonts w:hint="default" w:cs="Times New Roman"/>
          <w:b/>
          <w:bCs/>
          <w:i/>
          <w:iCs/>
          <w:szCs w:val="24"/>
          <w:lang w:val="en-US" w:eastAsia="ro-RO"/>
        </w:rPr>
      </w:pPr>
    </w:p>
    <w:p>
      <w:pPr>
        <w:rPr>
          <w:rFonts w:hint="default"/>
          <w:lang w:val="ro-RO"/>
        </w:rPr>
      </w:pPr>
      <w:r>
        <w:rPr>
          <w:rFonts w:hint="default"/>
          <w:lang w:val="ro-RO"/>
        </w:rPr>
        <w:tab/>
      </w:r>
      <w:r>
        <w:rPr>
          <w:rFonts w:hint="default"/>
          <w:lang w:val="ro-RO"/>
        </w:rPr>
        <w:t>Având în vedere</w:t>
      </w:r>
      <w:r>
        <w:t xml:space="preserve"> Referatul de aprobare nr</w:t>
      </w:r>
      <w:r>
        <w:rPr>
          <w:rFonts w:hint="default"/>
          <w:lang w:val="ro-RO"/>
        </w:rPr>
        <w:t>.D6304</w:t>
      </w:r>
      <w:r>
        <w:t>/</w:t>
      </w:r>
      <w:r>
        <w:rPr>
          <w:rFonts w:hint="default"/>
          <w:lang w:val="ro-RO"/>
        </w:rPr>
        <w:t>15.11.2023</w:t>
      </w:r>
      <w:r>
        <w:t xml:space="preserve"> al Primarului Sectorului 1 al Municipiului București</w:t>
      </w:r>
      <w:r>
        <w:rPr>
          <w:rFonts w:hint="default"/>
          <w:lang w:val="ro-RO"/>
        </w:rPr>
        <w:t>;</w:t>
      </w:r>
    </w:p>
    <w:p>
      <w:pPr>
        <w:rPr>
          <w:rFonts w:hint="default" w:ascii="Times New Roman" w:hAnsi="Times New Roman"/>
          <w:lang w:val="ro-RO"/>
        </w:rPr>
      </w:pPr>
      <w:r>
        <w:rPr>
          <w:rFonts w:hint="default" w:ascii="Times New Roman" w:hAnsi="Times New Roman"/>
          <w:lang w:val="ro-RO"/>
        </w:rPr>
        <w:t>Ținând seama de raportul de specialitate nr.</w:t>
      </w:r>
      <w:r>
        <w:rPr>
          <w:rFonts w:hint="default"/>
          <w:lang w:val="ro-RO"/>
        </w:rPr>
        <w:t>D6305</w:t>
      </w:r>
      <w:r>
        <w:rPr>
          <w:rFonts w:hint="default" w:ascii="Times New Roman" w:hAnsi="Times New Roman"/>
          <w:lang w:val="ro-RO"/>
        </w:rPr>
        <w:t>/</w:t>
      </w:r>
      <w:r>
        <w:rPr>
          <w:rFonts w:hint="default"/>
          <w:lang w:val="ro-RO"/>
        </w:rPr>
        <w:t>16.11.2023</w:t>
      </w:r>
      <w:r>
        <w:rPr>
          <w:rFonts w:hint="default" w:ascii="Times New Roman" w:hAnsi="Times New Roman"/>
          <w:lang w:val="ro-RO"/>
        </w:rPr>
        <w:t xml:space="preserve"> al Direcției Generale Administrație Publică Locală - Serviciul Autorizații de Funcționare și Servicii Publice</w:t>
      </w:r>
      <w:r>
        <w:rPr>
          <w:rFonts w:hint="default"/>
          <w:lang w:val="ro-RO"/>
        </w:rPr>
        <w:t>;</w:t>
      </w:r>
    </w:p>
    <w:p>
      <w:pPr>
        <w:rPr>
          <w:rFonts w:hint="default" w:ascii="Times New Roman" w:hAnsi="Times New Roman"/>
          <w:lang w:val="ro-RO"/>
        </w:rPr>
      </w:pPr>
      <w:r>
        <w:rPr>
          <w:rFonts w:hint="default" w:ascii="Times New Roman" w:hAnsi="Times New Roman"/>
          <w:lang w:val="ro-RO"/>
        </w:rPr>
        <w:t xml:space="preserve">În virtutea prevederilor Constituției României;  </w:t>
      </w:r>
    </w:p>
    <w:p>
      <w:pPr>
        <w:rPr>
          <w:rFonts w:hint="default" w:ascii="Times New Roman" w:hAnsi="Times New Roman"/>
          <w:lang w:val="ro-RO"/>
        </w:rPr>
      </w:pPr>
      <w:r>
        <w:rPr>
          <w:rFonts w:hint="default" w:ascii="Times New Roman" w:hAnsi="Times New Roman"/>
          <w:lang w:val="ro-RO"/>
        </w:rPr>
        <w:t xml:space="preserve">În conformitate cu </w:t>
      </w:r>
      <w:r>
        <w:rPr>
          <w:rFonts w:hint="default"/>
          <w:lang w:val="ro-RO"/>
        </w:rPr>
        <w:t>dispozițiile</w:t>
      </w:r>
      <w:r>
        <w:rPr>
          <w:rFonts w:hint="default" w:ascii="Times New Roman" w:hAnsi="Times New Roman"/>
          <w:lang w:val="ro-RO"/>
        </w:rPr>
        <w:t xml:space="preserve"> Legii nr. 24/2000 privind normele de tehnică legislativă pentru elaborarea actelor normative, republicată, cu modificările și completările ulterioare;</w:t>
      </w:r>
    </w:p>
    <w:p>
      <w:r>
        <w:rPr>
          <w:bCs/>
          <w:iCs/>
          <w:szCs w:val="24"/>
        </w:rPr>
        <w:t>Luând în considerare prevederile</w:t>
      </w:r>
      <w:r>
        <w:rPr>
          <w:rFonts w:hint="default"/>
          <w:bCs/>
          <w:iCs/>
          <w:szCs w:val="24"/>
          <w:lang w:val="ro-RO"/>
        </w:rPr>
        <w:t xml:space="preserve"> următoarelor acte</w:t>
      </w:r>
      <w:r>
        <w:rPr>
          <w:bCs/>
          <w:iCs/>
          <w:szCs w:val="24"/>
        </w:rPr>
        <w:t>:</w:t>
      </w:r>
    </w:p>
    <w:p>
      <w:pPr>
        <w:pStyle w:val="30"/>
        <w:numPr>
          <w:ilvl w:val="0"/>
          <w:numId w:val="0"/>
        </w:numPr>
        <w:tabs>
          <w:tab w:val="left" w:pos="567"/>
        </w:tabs>
        <w:spacing w:after="120" w:line="240" w:lineRule="auto"/>
        <w:ind w:leftChars="0"/>
      </w:pPr>
      <w:r>
        <w:rPr>
          <w:rFonts w:hint="default"/>
          <w:bCs/>
          <w:iCs/>
          <w:szCs w:val="24"/>
          <w:lang w:val="ro-RO"/>
        </w:rPr>
        <w:tab/>
      </w:r>
      <w:r>
        <w:rPr>
          <w:bCs/>
          <w:iCs/>
          <w:szCs w:val="24"/>
        </w:rPr>
        <w:t>Leg</w:t>
      </w:r>
      <w:r>
        <w:rPr>
          <w:rFonts w:hint="default"/>
          <w:bCs/>
          <w:iCs/>
          <w:szCs w:val="24"/>
          <w:lang w:val="ro-RO"/>
        </w:rPr>
        <w:t>ea</w:t>
      </w:r>
      <w:r>
        <w:rPr>
          <w:bCs/>
          <w:iCs/>
          <w:szCs w:val="24"/>
        </w:rPr>
        <w:t xml:space="preserve"> serviciului de salubrizare a localităților nr. 101/2006, republicată, cu modificările și completările ulterioare, </w:t>
      </w:r>
    </w:p>
    <w:p>
      <w:pPr>
        <w:pStyle w:val="30"/>
        <w:numPr>
          <w:ilvl w:val="0"/>
          <w:numId w:val="0"/>
        </w:numPr>
        <w:tabs>
          <w:tab w:val="left" w:pos="567"/>
        </w:tabs>
        <w:spacing w:after="120" w:line="240" w:lineRule="auto"/>
        <w:ind w:leftChars="0"/>
      </w:pPr>
      <w:r>
        <w:rPr>
          <w:rFonts w:hint="default"/>
          <w:bCs/>
          <w:iCs/>
          <w:szCs w:val="24"/>
          <w:lang w:val="ro-RO"/>
        </w:rPr>
        <w:tab/>
      </w:r>
      <w:r>
        <w:rPr>
          <w:bCs/>
          <w:iCs/>
          <w:szCs w:val="24"/>
        </w:rPr>
        <w:t>Leg</w:t>
      </w:r>
      <w:r>
        <w:rPr>
          <w:rFonts w:hint="default"/>
          <w:bCs/>
          <w:iCs/>
          <w:szCs w:val="24"/>
          <w:lang w:val="ro-RO"/>
        </w:rPr>
        <w:t>ea</w:t>
      </w:r>
      <w:r>
        <w:rPr>
          <w:bCs/>
          <w:iCs/>
          <w:szCs w:val="24"/>
        </w:rPr>
        <w:t xml:space="preserve"> </w:t>
      </w:r>
      <w:r>
        <w:rPr>
          <w:iCs/>
          <w:szCs w:val="24"/>
        </w:rPr>
        <w:t>serviciilor comunitare de utilități publice nr. 51/2006</w:t>
      </w:r>
      <w:r>
        <w:rPr>
          <w:bCs/>
          <w:iCs/>
          <w:szCs w:val="24"/>
        </w:rPr>
        <w:t>, republicată, cu modificările și completările ulterioare;</w:t>
      </w:r>
    </w:p>
    <w:p>
      <w:pPr>
        <w:pStyle w:val="30"/>
        <w:numPr>
          <w:ilvl w:val="0"/>
          <w:numId w:val="0"/>
        </w:numPr>
        <w:tabs>
          <w:tab w:val="left" w:pos="567"/>
        </w:tabs>
        <w:spacing w:after="120" w:line="240" w:lineRule="auto"/>
        <w:ind w:leftChars="0"/>
      </w:pPr>
      <w:r>
        <w:rPr>
          <w:rFonts w:hint="default"/>
          <w:bCs/>
          <w:iCs/>
          <w:szCs w:val="24"/>
          <w:lang w:val="ro-RO"/>
        </w:rPr>
        <w:tab/>
      </w:r>
      <w:r>
        <w:rPr>
          <w:bCs/>
          <w:iCs/>
          <w:szCs w:val="24"/>
        </w:rPr>
        <w:t>Leg</w:t>
      </w:r>
      <w:r>
        <w:rPr>
          <w:rFonts w:hint="default"/>
          <w:bCs/>
          <w:iCs/>
          <w:szCs w:val="24"/>
          <w:lang w:val="ro-RO"/>
        </w:rPr>
        <w:t>ea</w:t>
      </w:r>
      <w:r>
        <w:rPr>
          <w:bCs/>
          <w:iCs/>
          <w:szCs w:val="24"/>
        </w:rPr>
        <w:t xml:space="preserve"> nr. 249/2015 privind modalitatea de gestionare a ambalajelor și a deșeurilor de ambalaje, cu modificările și completările ulterioare; </w:t>
      </w:r>
    </w:p>
    <w:p>
      <w:pPr>
        <w:pStyle w:val="30"/>
        <w:numPr>
          <w:ilvl w:val="0"/>
          <w:numId w:val="0"/>
        </w:numPr>
        <w:tabs>
          <w:tab w:val="left" w:pos="567"/>
        </w:tabs>
        <w:spacing w:after="120" w:line="240" w:lineRule="auto"/>
        <w:ind w:leftChars="0"/>
      </w:pPr>
      <w:r>
        <w:rPr>
          <w:rFonts w:hint="default"/>
          <w:bCs/>
          <w:iCs/>
          <w:szCs w:val="24"/>
          <w:lang w:val="ro-RO"/>
        </w:rPr>
        <w:tab/>
      </w:r>
      <w:r>
        <w:rPr>
          <w:bCs/>
          <w:iCs/>
          <w:szCs w:val="24"/>
        </w:rPr>
        <w:t>Ordonanț</w:t>
      </w:r>
      <w:r>
        <w:rPr>
          <w:rFonts w:hint="default"/>
          <w:bCs/>
          <w:iCs/>
          <w:szCs w:val="24"/>
          <w:lang w:val="ro-RO"/>
        </w:rPr>
        <w:t>a</w:t>
      </w:r>
      <w:r>
        <w:rPr>
          <w:bCs/>
          <w:iCs/>
          <w:szCs w:val="24"/>
        </w:rPr>
        <w:t xml:space="preserve"> de urgență nr. 92/2021 privind regimul deșeurilor; </w:t>
      </w:r>
    </w:p>
    <w:p>
      <w:pPr>
        <w:pStyle w:val="30"/>
        <w:numPr>
          <w:ilvl w:val="0"/>
          <w:numId w:val="0"/>
        </w:numPr>
        <w:tabs>
          <w:tab w:val="left" w:pos="567"/>
        </w:tabs>
        <w:spacing w:after="120" w:line="240" w:lineRule="auto"/>
        <w:ind w:leftChars="0"/>
      </w:pPr>
      <w:r>
        <w:rPr>
          <w:rFonts w:hint="default"/>
          <w:bCs/>
          <w:iCs/>
          <w:szCs w:val="24"/>
          <w:lang w:val="ro-RO"/>
        </w:rPr>
        <w:tab/>
      </w:r>
      <w:r>
        <w:rPr>
          <w:rFonts w:hint="default"/>
          <w:bCs/>
          <w:iCs/>
          <w:szCs w:val="24"/>
          <w:lang w:val="ro-RO"/>
        </w:rPr>
        <w:t xml:space="preserve">Art.V alin.(1) din  </w:t>
      </w:r>
      <w:r>
        <w:rPr>
          <w:bCs/>
          <w:iCs/>
          <w:szCs w:val="24"/>
        </w:rPr>
        <w:t>Or</w:t>
      </w:r>
      <w:r>
        <w:rPr>
          <w:rFonts w:ascii="Times New Roman" w:hAnsi="Times New Roman"/>
          <w:bCs/>
          <w:iCs/>
          <w:szCs w:val="24"/>
        </w:rPr>
        <w:t>donanț</w:t>
      </w:r>
      <w:r>
        <w:rPr>
          <w:rFonts w:hint="default"/>
          <w:bCs/>
          <w:iCs/>
          <w:szCs w:val="24"/>
          <w:lang w:val="ro-RO"/>
        </w:rPr>
        <w:t>a</w:t>
      </w:r>
      <w:r>
        <w:rPr>
          <w:rFonts w:ascii="Times New Roman" w:hAnsi="Times New Roman"/>
          <w:bCs/>
          <w:iCs/>
          <w:szCs w:val="24"/>
        </w:rPr>
        <w:t xml:space="preserve"> de urgență</w:t>
      </w:r>
      <w:r>
        <w:rPr>
          <w:rFonts w:hint="default" w:ascii="Times New Roman" w:hAnsi="Times New Roman"/>
          <w:bCs/>
          <w:iCs/>
          <w:szCs w:val="24"/>
          <w:lang w:val="ro-RO"/>
        </w:rPr>
        <w:t xml:space="preserve"> a Guvernului nr.133/2022 pentru modificarea </w:t>
      </w:r>
      <w:r>
        <w:rPr>
          <w:rFonts w:ascii="Times New Roman" w:hAnsi="Times New Roman"/>
          <w:bCs/>
          <w:iCs/>
          <w:szCs w:val="24"/>
        </w:rPr>
        <w:t>şi completarea Ordonanţei de urgenţă a Guvernului nr. 92/2021 privind regimul deşeurilor, precum şi a Legii serviciului de salubrizare a localităţilor nr. 101/2006</w:t>
      </w:r>
      <w:r>
        <w:rPr>
          <w:rFonts w:hint="default" w:ascii="Times New Roman" w:hAnsi="Times New Roman"/>
          <w:bCs/>
          <w:iCs/>
          <w:szCs w:val="24"/>
          <w:lang w:val="ro-RO"/>
        </w:rPr>
        <w:t>;</w:t>
      </w:r>
    </w:p>
    <w:p>
      <w:pPr>
        <w:pStyle w:val="30"/>
        <w:numPr>
          <w:ilvl w:val="0"/>
          <w:numId w:val="0"/>
        </w:numPr>
        <w:tabs>
          <w:tab w:val="left" w:pos="567"/>
        </w:tabs>
        <w:spacing w:after="120" w:line="240" w:lineRule="auto"/>
        <w:ind w:leftChars="0"/>
      </w:pPr>
      <w:r>
        <w:rPr>
          <w:rFonts w:hint="default"/>
          <w:bCs/>
          <w:iCs/>
          <w:szCs w:val="24"/>
          <w:lang w:val="ro-RO"/>
        </w:rPr>
        <w:tab/>
      </w:r>
      <w:r>
        <w:rPr>
          <w:bCs/>
          <w:iCs/>
          <w:szCs w:val="24"/>
        </w:rPr>
        <w:t>Ordonanț</w:t>
      </w:r>
      <w:r>
        <w:rPr>
          <w:rFonts w:hint="default"/>
          <w:bCs/>
          <w:iCs/>
          <w:szCs w:val="24"/>
          <w:lang w:val="ro-RO"/>
        </w:rPr>
        <w:t>a</w:t>
      </w:r>
      <w:r>
        <w:rPr>
          <w:bCs/>
          <w:iCs/>
          <w:szCs w:val="24"/>
        </w:rPr>
        <w:t xml:space="preserve"> de urgență nr. 196/2005 privind Fondul pentru mediu, cu modificările și completările ulterioare;</w:t>
      </w:r>
    </w:p>
    <w:p>
      <w:pPr>
        <w:pStyle w:val="30"/>
        <w:numPr>
          <w:ilvl w:val="0"/>
          <w:numId w:val="0"/>
        </w:numPr>
        <w:tabs>
          <w:tab w:val="left" w:pos="567"/>
        </w:tabs>
        <w:spacing w:after="120" w:line="240" w:lineRule="auto"/>
        <w:ind w:leftChars="0"/>
      </w:pPr>
      <w:r>
        <w:rPr>
          <w:rFonts w:hint="default"/>
          <w:bCs/>
          <w:iCs/>
          <w:szCs w:val="24"/>
          <w:lang w:val="ro-RO"/>
        </w:rPr>
        <w:tab/>
      </w:r>
      <w:r>
        <w:rPr>
          <w:bCs/>
          <w:iCs/>
          <w:szCs w:val="24"/>
        </w:rPr>
        <w:t xml:space="preserve">Ordinul președintelui Autorității Naționale de Reglementare pentru Serviciile Comunitare de Utilități Publice nr. </w:t>
      </w:r>
      <w:r>
        <w:rPr>
          <w:rFonts w:hint="default"/>
          <w:bCs/>
          <w:iCs/>
          <w:szCs w:val="24"/>
          <w:lang w:val="ro-RO"/>
        </w:rPr>
        <w:t>640</w:t>
      </w:r>
      <w:r>
        <w:rPr>
          <w:bCs/>
          <w:iCs/>
          <w:szCs w:val="24"/>
        </w:rPr>
        <w:t>/20</w:t>
      </w:r>
      <w:r>
        <w:rPr>
          <w:rFonts w:hint="default"/>
          <w:bCs/>
          <w:iCs/>
          <w:szCs w:val="24"/>
          <w:lang w:val="ro-RO"/>
        </w:rPr>
        <w:t>22</w:t>
      </w:r>
      <w:r>
        <w:rPr>
          <w:rFonts w:ascii="Times New Roman" w:hAnsi="Times New Roman"/>
          <w:bCs/>
          <w:iCs/>
          <w:szCs w:val="24"/>
        </w:rPr>
        <w:t xml:space="preserve"> privind aprobarea Normelor metodologice de stabilire, ajustare sau modificare a tarifelor pentru activităţile de salubrizare, precum şi de calculare a tarifelor/taxelor distincte pentru gestionarea deşeurilor şi a taxelor de salubrizare</w:t>
      </w:r>
      <w:r>
        <w:rPr>
          <w:rFonts w:hint="default" w:ascii="Times New Roman" w:hAnsi="Times New Roman"/>
          <w:bCs/>
          <w:iCs/>
          <w:szCs w:val="24"/>
          <w:lang w:val="ro-RO"/>
        </w:rPr>
        <w:t>;</w:t>
      </w:r>
    </w:p>
    <w:p>
      <w:pPr>
        <w:pStyle w:val="30"/>
        <w:numPr>
          <w:ilvl w:val="0"/>
          <w:numId w:val="0"/>
        </w:numPr>
        <w:tabs>
          <w:tab w:val="left" w:pos="567"/>
        </w:tabs>
        <w:spacing w:after="120" w:line="240" w:lineRule="auto"/>
        <w:ind w:leftChars="0"/>
      </w:pPr>
      <w:r>
        <w:rPr>
          <w:rFonts w:hint="default"/>
          <w:bCs/>
          <w:iCs/>
          <w:szCs w:val="24"/>
          <w:lang w:val="ro-RO"/>
        </w:rPr>
        <w:tab/>
      </w:r>
      <w:r>
        <w:rPr>
          <w:rFonts w:hint="default"/>
          <w:bCs/>
          <w:iCs/>
          <w:szCs w:val="24"/>
          <w:lang w:val="ro-RO"/>
        </w:rPr>
        <w:t>Hotărârea Consiliului Local Sector 1 nr.113/01.04.2019, privind modificarea tarifelor pentru activitățile Serviciului de salubrizare a Sectorului 1 al Municipiului București derulate de către Compania Romprest Service SA, conform Contractului de delegare a gestiunii prestării serviciilor de salubritate pe raza administrativă a Sectorului 1 al Municipiului București nr.J077/S/30.06.2008;</w:t>
      </w:r>
    </w:p>
    <w:p>
      <w:pPr>
        <w:pStyle w:val="30"/>
        <w:numPr>
          <w:ilvl w:val="0"/>
          <w:numId w:val="0"/>
        </w:numPr>
        <w:tabs>
          <w:tab w:val="left" w:pos="567"/>
        </w:tabs>
        <w:spacing w:after="120" w:line="240" w:lineRule="auto"/>
        <w:ind w:leftChars="0"/>
      </w:pPr>
      <w:r>
        <w:rPr>
          <w:rFonts w:hint="default"/>
          <w:bCs/>
          <w:iCs/>
          <w:szCs w:val="24"/>
          <w:lang w:val="ro-RO"/>
        </w:rPr>
        <w:tab/>
      </w:r>
      <w:r>
        <w:rPr>
          <w:rFonts w:hint="default"/>
          <w:bCs/>
          <w:iCs/>
          <w:szCs w:val="24"/>
          <w:lang w:val="ro-RO"/>
        </w:rPr>
        <w:t xml:space="preserve">Contractului de delegare a gestiunii prestării serviciilor de salubritate pe raza administrativă a Sectorului 1 al Municipiului București nr.J077/S/30.06.2008, </w:t>
      </w:r>
      <w:r>
        <w:rPr>
          <w:rFonts w:hint="default"/>
          <w:b w:val="0"/>
          <w:bCs w:val="0"/>
          <w:lang w:val="ro-RO"/>
        </w:rPr>
        <w:t>încheiat între Consiliul Local Sector 1 și Compania Romprest Service SA</w:t>
      </w:r>
      <w:r>
        <w:rPr>
          <w:rFonts w:hint="default"/>
          <w:bCs/>
          <w:iCs/>
          <w:szCs w:val="24"/>
          <w:lang w:val="ro-RO"/>
        </w:rPr>
        <w:t>;</w:t>
      </w:r>
      <w:r>
        <w:rPr>
          <w:rFonts w:hint="default"/>
          <w:lang w:val="ro-RO"/>
        </w:rPr>
        <w:t xml:space="preserve"> </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ab/>
      </w:r>
      <w:r>
        <w:rPr>
          <w:rFonts w:hint="default"/>
          <w:bCs/>
          <w:iCs/>
          <w:szCs w:val="24"/>
          <w:lang w:val="ro-RO"/>
        </w:rPr>
        <w:t xml:space="preserve">Având în vedere adresa Companiei Romprest Service SA către Sectorul 1 al Municipiului București, cu nr.3304/05.10.2023, înregistrată la Primăria Sectorului 1 sub nr.67034/05.10.2023, prin care se solicită ajustarea unor tarife de prestație aferente Contractului de delegare a gestiunii prestării serviciilor de salubritate pe raza administrativă a Sectorului 1 București nr.J077/S/30.06.2008, inclusiv recalcularea și ajustarea tarifelor privind colectarea deșeurilor voluminoase și colectarea deșeurilor din construcții conform art.V alin.(1) din OUG nr.133/2021, respectiv ajustarea tarifelor operațiunilor aferente activităților: </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 xml:space="preserve">a) măturatul, spălatul, stropire și întreținerea căilor publice; </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b) curățarea și transportul zăpezii de pe căile publice și menținerea în funcțiune a acestora pe timp de polei sau de îngheț;</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 xml:space="preserve">c) colectarea cadavrelor animalelor de pe domeniul public si predarea acestora unitatilor specializate de ecologizare animaliera; </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d) colectarea, transportul, depozitarea și valorificarea deșeurilor voluminoase;</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e) colectarea, transportul, depozitarea deșeurilor din activități de construcții și demolări;</w:t>
      </w:r>
    </w:p>
    <w:p>
      <w:r>
        <w:rPr>
          <w:lang w:val="ro-RO"/>
        </w:rPr>
        <w:t>În temeiul prevederilor art.5 lit.</w:t>
      </w:r>
      <w:r>
        <w:rPr>
          <w:rFonts w:hint="default"/>
          <w:lang w:val="ro-RO"/>
        </w:rPr>
        <w:t>cc</w:t>
      </w:r>
      <w:r>
        <w:rPr>
          <w:lang w:val="ro-RO"/>
        </w:rPr>
        <w:t>), art.139 alin. (</w:t>
      </w:r>
      <w:r>
        <w:rPr>
          <w:rFonts w:hint="default"/>
          <w:lang w:val="ro-RO"/>
        </w:rPr>
        <w:t>3</w:t>
      </w:r>
      <w:r>
        <w:rPr>
          <w:lang w:val="ro-RO"/>
        </w:rPr>
        <w:t>)</w:t>
      </w:r>
      <w:r>
        <w:rPr>
          <w:rFonts w:hint="default"/>
          <w:lang w:val="ro-RO"/>
        </w:rPr>
        <w:t xml:space="preserve"> lit.a)</w:t>
      </w:r>
      <w:r>
        <w:rPr>
          <w:lang w:val="ro-RO"/>
        </w:rPr>
        <w:t>, art.166 alin.(2) lit. o) și alin. (4), art.196 alin.(1) lit. a) din Ordonanța de Urgență a Guvernului nr.57/2019 privind Codul administrativ;</w:t>
      </w:r>
    </w:p>
    <w:p>
      <w:pPr>
        <w:jc w:val="center"/>
      </w:pPr>
      <w:r>
        <w:rPr>
          <w:rFonts w:cs="Times New Roman"/>
          <w:b/>
          <w:szCs w:val="24"/>
        </w:rPr>
        <w:t xml:space="preserve">CONSILIUL LOCAL AL SECTORULUI 1  </w:t>
      </w:r>
    </w:p>
    <w:p>
      <w:pPr>
        <w:jc w:val="center"/>
        <w:rPr>
          <w:rFonts w:cs="Times New Roman"/>
          <w:szCs w:val="24"/>
        </w:rPr>
      </w:pPr>
      <w:r>
        <w:rPr>
          <w:rFonts w:cs="Times New Roman"/>
          <w:b/>
          <w:szCs w:val="24"/>
        </w:rPr>
        <w:t>HOTĂRĂȘTE</w:t>
      </w:r>
      <w:r>
        <w:rPr>
          <w:rFonts w:cs="Times New Roman"/>
          <w:szCs w:val="24"/>
        </w:rPr>
        <w:t>:</w:t>
      </w:r>
    </w:p>
    <w:p>
      <w:pPr>
        <w:pStyle w:val="37"/>
        <w:numPr>
          <w:ilvl w:val="0"/>
          <w:numId w:val="0"/>
        </w:numPr>
        <w:ind w:leftChars="0"/>
        <w:rPr>
          <w:b w:val="0"/>
          <w:bCs w:val="0"/>
        </w:rPr>
      </w:pPr>
      <w:r>
        <w:rPr>
          <w:rFonts w:hint="default"/>
          <w:b/>
          <w:bCs/>
          <w:lang w:val="ro-RO"/>
        </w:rPr>
        <w:t xml:space="preserve">Art.1. </w:t>
      </w:r>
      <w:r>
        <w:rPr>
          <w:rFonts w:hint="default"/>
          <w:b w:val="0"/>
          <w:bCs w:val="0"/>
          <w:lang w:val="ro-RO"/>
        </w:rPr>
        <w:t>(1) Se aprobă ajustarea tarifelor unor activități de salubrizare aferente Contratului de delegare a gestiunii prestării serviciilor de salubritate pe raza administrativă a Sectorului 1 București, cu nr.J077/S/30.06.2008, dintre Consiliul Local Sector 1 și Compania Romprest Service SA, prin aplicarea coeficientului de indexare cu evoluţia indicelui preţului de consum total (IPC total), calculat pentru perioada 01 mai 2019 - 31 august 2023, anume prin aplicarea acestui coeficient la cheltuielile de exploatare din cadrul structurii fiecarui tarif aferent următoarelor activități din contract:</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 xml:space="preserve">a) măturatul, stropitul, spălatul și întreținerea căilor publice; </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b) curățarea și transportul zăpezii de pe căile publice și menținerea în funcțiune a acestora pe timp de polei sau de îngheț;</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 xml:space="preserve">c) colectarea cadavrelor animalelor de pe domeniul public si predarea acestora unitatilor specializate de ecologizare animaliera; </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d) colectarea, transportul, depozitarea și valorificarea deșeurilor voluminoase (cu excepția cheltuielilor de exploatare eliminate prin recalculare conform art.V alin.(1) din OUG nr.133/2022);</w:t>
      </w:r>
    </w:p>
    <w:p>
      <w:pPr>
        <w:pStyle w:val="30"/>
        <w:numPr>
          <w:ilvl w:val="0"/>
          <w:numId w:val="0"/>
        </w:numPr>
        <w:tabs>
          <w:tab w:val="left" w:pos="567"/>
        </w:tabs>
        <w:spacing w:after="120" w:line="240" w:lineRule="auto"/>
        <w:ind w:leftChars="0"/>
        <w:rPr>
          <w:rFonts w:hint="default"/>
          <w:bCs/>
          <w:iCs/>
          <w:szCs w:val="24"/>
          <w:lang w:val="ro-RO"/>
        </w:rPr>
      </w:pPr>
      <w:r>
        <w:rPr>
          <w:rFonts w:hint="default"/>
          <w:bCs/>
          <w:iCs/>
          <w:szCs w:val="24"/>
          <w:lang w:val="ro-RO"/>
        </w:rPr>
        <w:t>e) colectarea, transportul, depozitarea deșeurilor din activități de construcții și demolări (cu excepția cheltuielilor de exploatare eliminate prin recalculare conform art.V alin.(1) din OUG nr.133/2022).</w:t>
      </w:r>
    </w:p>
    <w:p>
      <w:pPr>
        <w:pStyle w:val="37"/>
        <w:numPr>
          <w:ilvl w:val="0"/>
          <w:numId w:val="4"/>
        </w:numPr>
        <w:ind w:left="0" w:leftChars="0" w:firstLine="0" w:firstLineChars="0"/>
        <w:rPr>
          <w:rFonts w:hint="default"/>
          <w:b w:val="0"/>
          <w:bCs w:val="0"/>
          <w:lang w:val="ro-RO"/>
        </w:rPr>
      </w:pPr>
      <w:r>
        <w:rPr>
          <w:rFonts w:hint="default"/>
          <w:b w:val="0"/>
          <w:bCs w:val="0"/>
          <w:lang w:val="ro-RO"/>
        </w:rPr>
        <w:t>Centralizatorul tarifelor de salubrizare aferente Contractului de delegare nr.J077/S/30.06.2008, dintre Consiliul Local Sector 1 și Compania Romprest Service SA, ajustate conform alin.(1) și recalculate conform art.2 și art.3, precum și fișele de fundamentare privind aceste tarife sunt prevăzute în Anexa nr.1 la prezenta hotărâre, care este parte integrantă a acestei hotărâri.</w:t>
      </w:r>
    </w:p>
    <w:p>
      <w:pPr>
        <w:pStyle w:val="37"/>
        <w:numPr>
          <w:ilvl w:val="0"/>
          <w:numId w:val="4"/>
        </w:numPr>
        <w:ind w:left="0" w:leftChars="0" w:firstLine="0" w:firstLineChars="0"/>
        <w:rPr>
          <w:rFonts w:hint="default"/>
          <w:bCs/>
          <w:iCs/>
          <w:szCs w:val="24"/>
          <w:lang w:val="ro-RO"/>
        </w:rPr>
      </w:pPr>
      <w:r>
        <w:rPr>
          <w:rFonts w:hint="default"/>
          <w:b w:val="0"/>
          <w:bCs w:val="0"/>
          <w:lang w:val="ro-RO"/>
        </w:rPr>
        <w:t>Tarifele aprobate conform prezentei hotărâri intră în </w:t>
      </w:r>
      <w:r>
        <w:rPr>
          <w:rFonts w:hint="default"/>
          <w:b w:val="0"/>
          <w:bCs w:val="0"/>
          <w:lang w:val="ro-RO"/>
        </w:rPr>
        <w:fldChar w:fldCharType="begin"/>
      </w:r>
      <w:r>
        <w:rPr>
          <w:rFonts w:hint="default"/>
          <w:b w:val="0"/>
          <w:bCs w:val="0"/>
          <w:lang w:val="ro-RO"/>
        </w:rPr>
        <w:instrText xml:space="preserve"> HYPERLINK "https://lege5.ro/App/Document/gezdqmrtg4yts/normele-metodologice-de-stabilire-ajustare-sau-modificare-a-tarifelor-pentru-activitatile-de-salubrizare-precum-si-de-calculare-a-tarifelor-taxelor-distincte-pentru-gestionarea-deseurilor-si-a-taxelor?d=2023-06-22" </w:instrText>
      </w:r>
      <w:r>
        <w:rPr>
          <w:rFonts w:hint="default"/>
          <w:b w:val="0"/>
          <w:bCs w:val="0"/>
          <w:lang w:val="ro-RO"/>
        </w:rPr>
        <w:fldChar w:fldCharType="separate"/>
      </w:r>
      <w:r>
        <w:rPr>
          <w:rFonts w:hint="default"/>
          <w:b w:val="0"/>
          <w:bCs w:val="0"/>
          <w:lang w:val="ro-RO"/>
        </w:rPr>
        <w:t>vigoare</w:t>
      </w:r>
      <w:r>
        <w:rPr>
          <w:rFonts w:hint="default"/>
          <w:b w:val="0"/>
          <w:bCs w:val="0"/>
          <w:lang w:val="ro-RO"/>
        </w:rPr>
        <w:fldChar w:fldCharType="end"/>
      </w:r>
      <w:r>
        <w:rPr>
          <w:rFonts w:hint="default"/>
          <w:b w:val="0"/>
          <w:bCs w:val="0"/>
          <w:lang w:val="ro-RO"/>
        </w:rPr>
        <w:t> începând cu data de întâi a lunii următoare datei aprobării acestora de către Consiliul Local Sector 1.</w:t>
      </w:r>
    </w:p>
    <w:p>
      <w:pPr>
        <w:pStyle w:val="37"/>
        <w:numPr>
          <w:ilvl w:val="0"/>
          <w:numId w:val="0"/>
        </w:numPr>
        <w:ind w:leftChars="0"/>
        <w:rPr>
          <w:b w:val="0"/>
          <w:bCs w:val="0"/>
        </w:rPr>
      </w:pPr>
      <w:r>
        <w:rPr>
          <w:rFonts w:hint="default"/>
          <w:b/>
          <w:bCs/>
          <w:lang w:val="ro-RO"/>
        </w:rPr>
        <w:t>Art.2.</w:t>
      </w:r>
      <w:r>
        <w:rPr>
          <w:rFonts w:hint="default"/>
          <w:lang w:val="ro-RO"/>
        </w:rPr>
        <w:t xml:space="preserve"> (1) Se modifică denumirea activității </w:t>
      </w:r>
      <w:r>
        <w:rPr>
          <w:rFonts w:hint="default" w:ascii="Times New Roman" w:hAnsi="Times New Roman" w:eastAsia="Times New Roman" w:cs="Times New Roman"/>
          <w:b w:val="0"/>
          <w:bCs w:val="0"/>
          <w:iCs/>
          <w:sz w:val="24"/>
          <w:szCs w:val="24"/>
          <w:lang w:val="en-US" w:eastAsia="ro-RO"/>
        </w:rPr>
        <w:t xml:space="preserve">de colectare, transport, depozitare și valorificare deșeuri voluminoase, aferentă Contractului de </w:t>
      </w:r>
      <w:r>
        <w:rPr>
          <w:rFonts w:hint="default" w:ascii="Times New Roman" w:hAnsi="Times New Roman"/>
          <w:lang w:val="en-US" w:eastAsia="ro-RO"/>
        </w:rPr>
        <w:t>delegare a gestiunii prestării serviciilor de salubritate pe raza administrativă a Sectorului 1 -</w:t>
      </w:r>
      <w:r>
        <w:rPr>
          <w:rFonts w:hint="default" w:ascii="Times New Roman" w:hAnsi="Times New Roman" w:eastAsia="Times New Roman" w:cs="Times New Roman"/>
          <w:b w:val="0"/>
          <w:bCs w:val="0"/>
          <w:iCs/>
          <w:sz w:val="24"/>
          <w:szCs w:val="24"/>
          <w:lang w:val="en-US" w:eastAsia="ro-RO"/>
        </w:rPr>
        <w:t xml:space="preserve"> nr.J077/S/30.06.2008, în conformitate cu cu art.2 alin.(3) lit.a), art.4 alin.(4) și art.11 alin.(5) lit.a) din Legea nr.101/2006, </w:t>
      </w:r>
      <w:r>
        <w:rPr>
          <w:rFonts w:hint="default" w:eastAsia="Times New Roman" w:cs="Times New Roman"/>
          <w:b w:val="0"/>
          <w:bCs w:val="0"/>
          <w:iCs/>
          <w:sz w:val="24"/>
          <w:szCs w:val="24"/>
          <w:lang w:val="en-US" w:eastAsia="ro-RO"/>
        </w:rPr>
        <w:t xml:space="preserve">republicată, cu modificările și completările ulterioare, </w:t>
      </w:r>
      <w:r>
        <w:rPr>
          <w:rFonts w:hint="default" w:ascii="Times New Roman" w:hAnsi="Times New Roman" w:eastAsia="Times New Roman" w:cs="Times New Roman"/>
          <w:b w:val="0"/>
          <w:bCs w:val="0"/>
          <w:iCs/>
          <w:sz w:val="24"/>
          <w:szCs w:val="24"/>
          <w:lang w:val="en-US" w:eastAsia="ro-RO"/>
        </w:rPr>
        <w:t>care va avea următoarea denumire: „colectarea separată și transportul separat al deșeurilor municipale voluminoase, inclusiv saltele și mobilă”.</w:t>
      </w:r>
    </w:p>
    <w:p>
      <w:pPr>
        <w:pStyle w:val="37"/>
        <w:numPr>
          <w:ilvl w:val="0"/>
          <w:numId w:val="5"/>
        </w:numPr>
        <w:ind w:left="0" w:leftChars="0" w:firstLine="0" w:firstLineChars="0"/>
        <w:rPr>
          <w:rFonts w:hint="default" w:ascii="Times New Roman" w:hAnsi="Times New Roman"/>
          <w:lang w:val="en-US" w:eastAsia="ro-RO"/>
        </w:rPr>
      </w:pPr>
      <w:r>
        <w:t xml:space="preserve">Se </w:t>
      </w:r>
      <w:r>
        <w:rPr>
          <w:rFonts w:hint="default"/>
          <w:lang w:val="ro-RO"/>
        </w:rPr>
        <w:t>aprobă „tariful</w:t>
      </w:r>
      <w:r>
        <w:rPr>
          <w:rFonts w:hint="default" w:ascii="Times New Roman" w:hAnsi="Times New Roman"/>
          <w:lang w:val="ro-RO"/>
        </w:rPr>
        <w:t xml:space="preserve"> </w:t>
      </w:r>
      <w:r>
        <w:rPr>
          <w:rFonts w:hint="default"/>
          <w:lang w:val="ro-RO"/>
        </w:rPr>
        <w:t>pentru</w:t>
      </w:r>
      <w:r>
        <w:rPr>
          <w:rFonts w:hint="default" w:ascii="Times New Roman" w:hAnsi="Times New Roman"/>
          <w:lang w:val="ro-RO"/>
        </w:rPr>
        <w:t xml:space="preserve"> </w:t>
      </w:r>
      <w:r>
        <w:rPr>
          <w:rFonts w:hint="default" w:ascii="Times New Roman" w:hAnsi="Times New Roman" w:eastAsia="Times New Roman" w:cs="Times New Roman"/>
          <w:b w:val="0"/>
          <w:bCs w:val="0"/>
          <w:iCs/>
          <w:sz w:val="24"/>
          <w:szCs w:val="24"/>
          <w:lang w:val="en-US" w:eastAsia="ro-RO"/>
        </w:rPr>
        <w:t>gestionare</w:t>
      </w:r>
      <w:r>
        <w:rPr>
          <w:rFonts w:hint="default" w:eastAsia="Times New Roman" w:cs="Times New Roman"/>
          <w:b w:val="0"/>
          <w:bCs w:val="0"/>
          <w:iCs/>
          <w:sz w:val="24"/>
          <w:szCs w:val="24"/>
          <w:lang w:val="en-US" w:eastAsia="ro-RO"/>
        </w:rPr>
        <w:t xml:space="preserve">a </w:t>
      </w:r>
      <w:r>
        <w:rPr>
          <w:rFonts w:hint="default" w:ascii="Times New Roman" w:hAnsi="Times New Roman" w:eastAsia="Times New Roman" w:cs="Times New Roman"/>
          <w:b w:val="0"/>
          <w:bCs w:val="0"/>
          <w:iCs/>
          <w:sz w:val="24"/>
          <w:szCs w:val="24"/>
          <w:lang w:val="en-US" w:eastAsia="ro-RO"/>
        </w:rPr>
        <w:t>deșeurilor voluminoase, inclusiv saltelele și mobila</w:t>
      </w:r>
      <w:r>
        <w:rPr>
          <w:rFonts w:hint="default" w:eastAsia="Times New Roman" w:cs="Times New Roman"/>
          <w:b w:val="0"/>
          <w:bCs w:val="0"/>
          <w:iCs/>
          <w:sz w:val="24"/>
          <w:szCs w:val="24"/>
          <w:lang w:val="en-US" w:eastAsia="ro-RO"/>
        </w:rPr>
        <w:t>” (tariful pentru colectarea separată și transportul separat al acestor deșeuri către operatorul de tratare)</w:t>
      </w:r>
      <w:r>
        <w:rPr>
          <w:rFonts w:hint="default" w:ascii="Times New Roman" w:hAnsi="Times New Roman" w:eastAsia="Times New Roman" w:cs="Times New Roman"/>
          <w:b w:val="0"/>
          <w:bCs w:val="0"/>
          <w:iCs/>
          <w:sz w:val="24"/>
          <w:szCs w:val="24"/>
          <w:lang w:val="en-US" w:eastAsia="ro-RO"/>
        </w:rPr>
        <w:t xml:space="preserve">, </w:t>
      </w:r>
      <w:r>
        <w:rPr>
          <w:rFonts w:hint="default" w:ascii="Times New Roman" w:hAnsi="Times New Roman"/>
          <w:lang w:val="en-US" w:eastAsia="ro-RO"/>
        </w:rPr>
        <w:t xml:space="preserve">în cuantum de </w:t>
      </w:r>
      <w:r>
        <w:rPr>
          <w:rFonts w:hint="default"/>
          <w:lang w:val="en-US" w:eastAsia="ro-RO"/>
        </w:rPr>
        <w:t>112,14</w:t>
      </w:r>
      <w:r>
        <w:rPr>
          <w:rFonts w:hint="default" w:ascii="Times New Roman" w:hAnsi="Times New Roman"/>
          <w:lang w:val="en-US" w:eastAsia="ro-RO"/>
        </w:rPr>
        <w:t xml:space="preserve"> lei/mc,</w:t>
      </w:r>
      <w:r>
        <w:rPr>
          <w:rFonts w:hint="default" w:ascii="Times New Roman" w:hAnsi="Times New Roman" w:eastAsia="Times New Roman" w:cs="Times New Roman"/>
          <w:b w:val="0"/>
          <w:bCs w:val="0"/>
          <w:iCs/>
          <w:sz w:val="24"/>
          <w:szCs w:val="24"/>
          <w:lang w:val="en-US" w:eastAsia="ro-RO"/>
        </w:rPr>
        <w:t xml:space="preserve"> </w:t>
      </w:r>
      <w:r>
        <w:rPr>
          <w:rFonts w:hint="default" w:ascii="Times New Roman" w:hAnsi="Times New Roman"/>
          <w:lang w:val="en-US" w:eastAsia="ro-RO"/>
        </w:rPr>
        <w:t>conform fișei de fundamentare din Anexa nr.</w:t>
      </w:r>
      <w:r>
        <w:rPr>
          <w:rFonts w:hint="default"/>
          <w:lang w:val="en-US" w:eastAsia="ro-RO"/>
        </w:rPr>
        <w:t>1</w:t>
      </w:r>
      <w:r>
        <w:rPr>
          <w:rFonts w:hint="default" w:ascii="Times New Roman" w:hAnsi="Times New Roman"/>
          <w:lang w:val="en-US" w:eastAsia="ro-RO"/>
        </w:rPr>
        <w:t xml:space="preserve"> a acestei hotărâri, ce se </w:t>
      </w:r>
      <w:r>
        <w:rPr>
          <w:rFonts w:hint="default" w:ascii="Times New Roman" w:hAnsi="Times New Roman" w:eastAsia="Times New Roman" w:cs="Times New Roman"/>
          <w:b w:val="0"/>
          <w:bCs w:val="0"/>
          <w:iCs/>
          <w:sz w:val="24"/>
          <w:szCs w:val="24"/>
          <w:lang w:val="en-US" w:eastAsia="ro-RO"/>
        </w:rPr>
        <w:t>aplică în</w:t>
      </w:r>
      <w:r>
        <w:rPr>
          <w:rFonts w:hint="default" w:ascii="Times New Roman" w:hAnsi="Times New Roman"/>
          <w:lang w:val="en-US" w:eastAsia="ro-RO"/>
        </w:rPr>
        <w:t xml:space="preserve"> Contractul de delegare a gestiunii prestării serviciilor de salubritate pe raza administrativă a Sectorului 1 -</w:t>
      </w:r>
      <w:r>
        <w:rPr>
          <w:rFonts w:hint="default" w:ascii="Times New Roman" w:hAnsi="Times New Roman" w:eastAsia="Times New Roman" w:cs="Times New Roman"/>
          <w:b w:val="0"/>
          <w:bCs w:val="0"/>
          <w:iCs/>
          <w:sz w:val="24"/>
          <w:szCs w:val="24"/>
          <w:lang w:val="en-US" w:eastAsia="ro-RO"/>
        </w:rPr>
        <w:t xml:space="preserve"> nr.J077/S/30.06.2008</w:t>
      </w:r>
      <w:r>
        <w:rPr>
          <w:rFonts w:hint="default" w:ascii="Times New Roman" w:hAnsi="Times New Roman"/>
          <w:lang w:val="en-US" w:eastAsia="ro-RO"/>
        </w:rPr>
        <w:t xml:space="preserve">, în locul tarifului de </w:t>
      </w:r>
      <w:r>
        <w:rPr>
          <w:rFonts w:hint="default" w:ascii="Times New Roman" w:hAnsi="Times New Roman" w:eastAsia="Times New Roman" w:cs="Times New Roman"/>
          <w:b w:val="0"/>
          <w:bCs w:val="0"/>
          <w:iCs/>
          <w:sz w:val="24"/>
          <w:szCs w:val="24"/>
          <w:lang w:val="en-US" w:eastAsia="ro-RO"/>
        </w:rPr>
        <w:t>colectare, transport, depozitare și valorificare deșeuri voluminoase</w:t>
      </w:r>
      <w:r>
        <w:rPr>
          <w:rFonts w:hint="default" w:ascii="Times New Roman" w:hAnsi="Times New Roman"/>
          <w:lang w:val="en-US" w:eastAsia="ro-RO"/>
        </w:rPr>
        <w:t>.</w:t>
      </w:r>
    </w:p>
    <w:p>
      <w:pPr>
        <w:pStyle w:val="37"/>
        <w:numPr>
          <w:ilvl w:val="0"/>
          <w:numId w:val="5"/>
        </w:numPr>
        <w:ind w:left="0" w:leftChars="0" w:firstLine="0" w:firstLineChars="0"/>
        <w:rPr>
          <w:rFonts w:hint="default"/>
          <w:b w:val="0"/>
          <w:bCs w:val="0"/>
          <w:lang w:val="ro-RO"/>
        </w:rPr>
      </w:pPr>
      <w:r>
        <w:rPr>
          <w:rFonts w:hint="default"/>
          <w:lang w:val="en-US" w:eastAsia="ro-RO"/>
        </w:rPr>
        <w:t>Tariful pentru</w:t>
      </w:r>
      <w:r>
        <w:rPr>
          <w:rFonts w:hint="default" w:ascii="Times New Roman" w:hAnsi="Times New Roman"/>
          <w:lang w:val="ro-RO"/>
        </w:rPr>
        <w:t xml:space="preserve"> </w:t>
      </w:r>
      <w:r>
        <w:rPr>
          <w:rFonts w:hint="default" w:ascii="Times New Roman" w:hAnsi="Times New Roman" w:eastAsia="Times New Roman" w:cs="Times New Roman"/>
          <w:b w:val="0"/>
          <w:bCs w:val="0"/>
          <w:iCs/>
          <w:sz w:val="24"/>
          <w:szCs w:val="24"/>
          <w:lang w:val="en-US" w:eastAsia="ro-RO"/>
        </w:rPr>
        <w:t>gestionare</w:t>
      </w:r>
      <w:r>
        <w:rPr>
          <w:rFonts w:hint="default" w:eastAsia="Times New Roman" w:cs="Times New Roman"/>
          <w:b w:val="0"/>
          <w:bCs w:val="0"/>
          <w:iCs/>
          <w:sz w:val="24"/>
          <w:szCs w:val="24"/>
          <w:lang w:val="en-US" w:eastAsia="ro-RO"/>
        </w:rPr>
        <w:t>a</w:t>
      </w:r>
      <w:r>
        <w:rPr>
          <w:rFonts w:hint="default" w:ascii="Times New Roman" w:hAnsi="Times New Roman" w:eastAsia="Times New Roman" w:cs="Times New Roman"/>
          <w:b w:val="0"/>
          <w:bCs w:val="0"/>
          <w:iCs/>
          <w:sz w:val="24"/>
          <w:szCs w:val="24"/>
          <w:lang w:val="en-US" w:eastAsia="ro-RO"/>
        </w:rPr>
        <w:t xml:space="preserve"> deșeurilor voluminoase, inclusiv saltelele și mobila</w:t>
      </w:r>
      <w:r>
        <w:rPr>
          <w:rFonts w:hint="default" w:eastAsia="Times New Roman" w:cs="Times New Roman"/>
          <w:b w:val="0"/>
          <w:bCs w:val="0"/>
          <w:iCs/>
          <w:sz w:val="24"/>
          <w:szCs w:val="24"/>
          <w:lang w:val="en-US" w:eastAsia="ro-RO"/>
        </w:rPr>
        <w:t xml:space="preserve">, </w:t>
      </w:r>
      <w:r>
        <w:rPr>
          <w:rFonts w:hint="default"/>
          <w:lang w:val="en-US" w:eastAsia="ro-RO"/>
        </w:rPr>
        <w:t xml:space="preserve">menționat la alin.(2), este obținut prin recalcularea tarifului </w:t>
      </w:r>
      <w:r>
        <w:rPr>
          <w:rFonts w:hint="default" w:ascii="Times New Roman" w:hAnsi="Times New Roman"/>
          <w:lang w:val="en-US" w:eastAsia="ro-RO"/>
        </w:rPr>
        <w:t xml:space="preserve">de </w:t>
      </w:r>
      <w:r>
        <w:rPr>
          <w:rFonts w:hint="default" w:ascii="Times New Roman" w:hAnsi="Times New Roman" w:eastAsia="Times New Roman" w:cs="Times New Roman"/>
          <w:b w:val="0"/>
          <w:bCs w:val="0"/>
          <w:iCs/>
          <w:sz w:val="24"/>
          <w:szCs w:val="24"/>
          <w:lang w:val="en-US" w:eastAsia="ro-RO"/>
        </w:rPr>
        <w:t>colectare, transport, depozitare și valorificare deșeuri voluminoase</w:t>
      </w:r>
      <w:r>
        <w:rPr>
          <w:rFonts w:hint="default" w:eastAsia="Times New Roman" w:cs="Times New Roman"/>
          <w:b w:val="0"/>
          <w:bCs w:val="0"/>
          <w:iCs/>
          <w:sz w:val="24"/>
          <w:szCs w:val="24"/>
          <w:lang w:val="en-US" w:eastAsia="ro-RO"/>
        </w:rPr>
        <w:t xml:space="preserve"> din </w:t>
      </w:r>
      <w:r>
        <w:rPr>
          <w:rFonts w:hint="default" w:ascii="Times New Roman" w:hAnsi="Times New Roman"/>
          <w:lang w:val="en-US" w:eastAsia="ro-RO"/>
        </w:rPr>
        <w:t>Contractul de delegare a gestiunii prestării serviciilor de salubritate pe raza administrativă a Sectorului 1 -</w:t>
      </w:r>
      <w:r>
        <w:rPr>
          <w:rFonts w:hint="default" w:ascii="Times New Roman" w:hAnsi="Times New Roman" w:eastAsia="Times New Roman" w:cs="Times New Roman"/>
          <w:b w:val="0"/>
          <w:bCs w:val="0"/>
          <w:iCs/>
          <w:sz w:val="24"/>
          <w:szCs w:val="24"/>
          <w:lang w:val="en-US" w:eastAsia="ro-RO"/>
        </w:rPr>
        <w:t xml:space="preserve"> nr.J077/S/30.06.2008</w:t>
      </w:r>
      <w:r>
        <w:rPr>
          <w:rFonts w:hint="default" w:eastAsia="Times New Roman" w:cs="Times New Roman"/>
          <w:b w:val="0"/>
          <w:bCs w:val="0"/>
          <w:iCs/>
          <w:sz w:val="24"/>
          <w:szCs w:val="24"/>
          <w:lang w:val="en-US" w:eastAsia="ro-RO"/>
        </w:rPr>
        <w:t>, anume prin eliminarea din structura tarifului anterior menționat a cheltuielilor privind contribuția pentru economia circulară și activitățile de tratare și eliminare prin depozitare a deșeurilor, în conformitate cu art.V alin.(1) din OUG nr.133/2022, cu modificările ulterioare, precum și prin ajustarea acestui tarif cu</w:t>
      </w:r>
      <w:r>
        <w:rPr>
          <w:rFonts w:hint="default"/>
          <w:b w:val="0"/>
          <w:bCs w:val="0"/>
          <w:lang w:val="ro-RO"/>
        </w:rPr>
        <w:t xml:space="preserve"> coeficientul de indexare cu evoluţia indicelui preţului de consum total, precizat la art.1.</w:t>
      </w:r>
    </w:p>
    <w:p>
      <w:pPr>
        <w:pStyle w:val="37"/>
        <w:numPr>
          <w:ilvl w:val="0"/>
          <w:numId w:val="0"/>
        </w:numPr>
        <w:ind w:leftChars="0"/>
        <w:rPr>
          <w:b w:val="0"/>
          <w:bCs w:val="0"/>
        </w:rPr>
      </w:pPr>
      <w:r>
        <w:rPr>
          <w:rFonts w:hint="default"/>
          <w:b/>
          <w:bCs/>
          <w:lang w:val="ro-RO"/>
        </w:rPr>
        <w:t>Art.3.</w:t>
      </w:r>
      <w:r>
        <w:rPr>
          <w:rFonts w:hint="default"/>
          <w:lang w:val="ro-RO"/>
        </w:rPr>
        <w:t xml:space="preserve"> (1) Se modifică denumirea activității de </w:t>
      </w:r>
      <w:r>
        <w:rPr>
          <w:rFonts w:hint="default" w:ascii="Times New Roman" w:hAnsi="Times New Roman" w:eastAsia="Times New Roman" w:cs="Times New Roman"/>
          <w:b w:val="0"/>
          <w:bCs w:val="0"/>
          <w:iCs/>
          <w:sz w:val="24"/>
          <w:szCs w:val="24"/>
          <w:lang w:val="en-US" w:eastAsia="ro-RO"/>
        </w:rPr>
        <w:t xml:space="preserve">colectare, transport și depozitare deșeuri din activități din construcții și demolări, aferentă Contractului de </w:t>
      </w:r>
      <w:r>
        <w:rPr>
          <w:rFonts w:hint="default" w:ascii="Times New Roman" w:hAnsi="Times New Roman"/>
          <w:lang w:val="en-US" w:eastAsia="ro-RO"/>
        </w:rPr>
        <w:t>delegare a gestiunii prestării serviciilor de salubritate pe raza administrativă a Sectorului 1 -</w:t>
      </w:r>
      <w:r>
        <w:rPr>
          <w:rFonts w:hint="default" w:ascii="Times New Roman" w:hAnsi="Times New Roman" w:eastAsia="Times New Roman" w:cs="Times New Roman"/>
          <w:b w:val="0"/>
          <w:bCs w:val="0"/>
          <w:iCs/>
          <w:sz w:val="24"/>
          <w:szCs w:val="24"/>
          <w:lang w:val="en-US" w:eastAsia="ro-RO"/>
        </w:rPr>
        <w:t xml:space="preserve"> nr.J077/S/30.06.2008, în conformitate cu art.2 alin.(3) lit.</w:t>
      </w:r>
      <w:r>
        <w:rPr>
          <w:rFonts w:hint="default" w:eastAsia="Times New Roman" w:cs="Times New Roman"/>
          <w:b w:val="0"/>
          <w:bCs w:val="0"/>
          <w:iCs/>
          <w:sz w:val="24"/>
          <w:szCs w:val="24"/>
          <w:lang w:val="en-US" w:eastAsia="ro-RO"/>
        </w:rPr>
        <w:t>a</w:t>
      </w:r>
      <w:r>
        <w:rPr>
          <w:rFonts w:hint="default" w:ascii="Times New Roman" w:hAnsi="Times New Roman" w:eastAsia="Times New Roman" w:cs="Times New Roman"/>
          <w:b w:val="0"/>
          <w:bCs w:val="0"/>
          <w:iCs/>
          <w:sz w:val="24"/>
          <w:szCs w:val="24"/>
          <w:lang w:val="en-US" w:eastAsia="ro-RO"/>
        </w:rPr>
        <w:t>), art.4 alin.(4) lit.</w:t>
      </w:r>
      <w:r>
        <w:rPr>
          <w:rFonts w:hint="default" w:eastAsia="Times New Roman" w:cs="Times New Roman"/>
          <w:b w:val="0"/>
          <w:bCs w:val="0"/>
          <w:iCs/>
          <w:sz w:val="24"/>
          <w:szCs w:val="24"/>
          <w:lang w:val="en-US" w:eastAsia="ro-RO"/>
        </w:rPr>
        <w:t>b</w:t>
      </w:r>
      <w:r>
        <w:rPr>
          <w:rFonts w:hint="default" w:ascii="Times New Roman" w:hAnsi="Times New Roman" w:eastAsia="Times New Roman" w:cs="Times New Roman"/>
          <w:b w:val="0"/>
          <w:bCs w:val="0"/>
          <w:iCs/>
          <w:sz w:val="24"/>
          <w:szCs w:val="24"/>
          <w:lang w:val="en-US" w:eastAsia="ro-RO"/>
        </w:rPr>
        <w:t xml:space="preserve">) și art.11 alin.(5) lit.a) din Legea nr.101/2006, </w:t>
      </w:r>
      <w:r>
        <w:rPr>
          <w:rFonts w:hint="default" w:eastAsia="Times New Roman" w:cs="Times New Roman"/>
          <w:b w:val="0"/>
          <w:bCs w:val="0"/>
          <w:iCs/>
          <w:sz w:val="24"/>
          <w:szCs w:val="24"/>
          <w:lang w:val="en-US" w:eastAsia="ro-RO"/>
        </w:rPr>
        <w:t xml:space="preserve">republicată, cu modificările și completările ulterioare, </w:t>
      </w:r>
      <w:r>
        <w:rPr>
          <w:rFonts w:hint="default" w:ascii="Times New Roman" w:hAnsi="Times New Roman" w:eastAsia="Times New Roman" w:cs="Times New Roman"/>
          <w:b w:val="0"/>
          <w:bCs w:val="0"/>
          <w:iCs/>
          <w:sz w:val="24"/>
          <w:szCs w:val="24"/>
          <w:lang w:val="en-US" w:eastAsia="ro-RO"/>
        </w:rPr>
        <w:t>care va avea următoarea denumire: „colectarea separată și transportul separat al deşeuril</w:t>
      </w:r>
      <w:r>
        <w:rPr>
          <w:rFonts w:hint="default" w:ascii="Times New Roman" w:hAnsi="Times New Roman" w:eastAsia="Times New Roman" w:cs="Times New Roman"/>
          <w:b w:val="0"/>
          <w:bCs w:val="0"/>
          <w:iCs/>
          <w:sz w:val="24"/>
          <w:szCs w:val="24"/>
          <w:lang w:val="ro-RO" w:eastAsia="ro-RO"/>
        </w:rPr>
        <w:t>or municipale</w:t>
      </w:r>
      <w:r>
        <w:rPr>
          <w:rFonts w:hint="default" w:ascii="Times New Roman" w:hAnsi="Times New Roman" w:eastAsia="Times New Roman" w:cs="Times New Roman"/>
          <w:b w:val="0"/>
          <w:bCs w:val="0"/>
          <w:iCs/>
          <w:sz w:val="24"/>
          <w:szCs w:val="24"/>
          <w:lang w:val="en-US" w:eastAsia="ro-RO"/>
        </w:rPr>
        <w:t xml:space="preserve"> provenite din locuinţe, generate de activităţi de reamenajare şi reabilitare interioară şi/sau exterioară a acestora”.</w:t>
      </w:r>
    </w:p>
    <w:p>
      <w:pPr>
        <w:pStyle w:val="37"/>
        <w:numPr>
          <w:ilvl w:val="0"/>
          <w:numId w:val="6"/>
        </w:numPr>
        <w:ind w:left="0" w:leftChars="0" w:firstLine="0" w:firstLineChars="0"/>
        <w:rPr>
          <w:b w:val="0"/>
          <w:bCs w:val="0"/>
        </w:rPr>
      </w:pPr>
      <w:r>
        <w:t xml:space="preserve">Se </w:t>
      </w:r>
      <w:r>
        <w:rPr>
          <w:rFonts w:hint="default"/>
          <w:lang w:val="ro-RO"/>
        </w:rPr>
        <w:t>aprobă „tariful pentru</w:t>
      </w:r>
      <w:r>
        <w:rPr>
          <w:rFonts w:hint="default" w:ascii="Times New Roman" w:hAnsi="Times New Roman"/>
          <w:lang w:val="ro-RO"/>
        </w:rPr>
        <w:t xml:space="preserve"> </w:t>
      </w:r>
      <w:r>
        <w:rPr>
          <w:rFonts w:hint="default" w:eastAsia="Times New Roman" w:cs="Times New Roman"/>
          <w:b w:val="0"/>
          <w:bCs w:val="0"/>
          <w:iCs/>
          <w:sz w:val="24"/>
          <w:szCs w:val="24"/>
          <w:lang w:val="en-US" w:eastAsia="ro-RO"/>
        </w:rPr>
        <w:t>g</w:t>
      </w:r>
      <w:r>
        <w:rPr>
          <w:rFonts w:hint="default" w:ascii="Times New Roman" w:hAnsi="Times New Roman" w:eastAsia="Times New Roman" w:cs="Times New Roman"/>
          <w:b w:val="0"/>
          <w:bCs w:val="0"/>
          <w:iCs/>
          <w:sz w:val="24"/>
          <w:szCs w:val="24"/>
          <w:lang w:val="en-US" w:eastAsia="ro-RO"/>
        </w:rPr>
        <w:t>estionare</w:t>
      </w:r>
      <w:r>
        <w:rPr>
          <w:rFonts w:hint="default" w:eastAsia="Times New Roman" w:cs="Times New Roman"/>
          <w:b w:val="0"/>
          <w:bCs w:val="0"/>
          <w:iCs/>
          <w:sz w:val="24"/>
          <w:szCs w:val="24"/>
          <w:lang w:val="en-US" w:eastAsia="ro-RO"/>
        </w:rPr>
        <w:t>a</w:t>
      </w:r>
      <w:r>
        <w:rPr>
          <w:rFonts w:hint="default" w:ascii="Times New Roman" w:hAnsi="Times New Roman" w:eastAsia="Times New Roman" w:cs="Times New Roman"/>
          <w:b w:val="0"/>
          <w:bCs w:val="0"/>
          <w:iCs/>
          <w:sz w:val="24"/>
          <w:szCs w:val="24"/>
          <w:lang w:val="en-US" w:eastAsia="ro-RO"/>
        </w:rPr>
        <w:t xml:space="preserve"> deşeurilor provenite din locuinţe, generate de activităţi de reamenajare şi reabilitare interioară şi/sau exterioară a acestora</w:t>
      </w:r>
      <w:r>
        <w:rPr>
          <w:rFonts w:hint="default" w:eastAsia="Times New Roman" w:cs="Times New Roman"/>
          <w:b w:val="0"/>
          <w:bCs w:val="0"/>
          <w:iCs/>
          <w:sz w:val="24"/>
          <w:szCs w:val="24"/>
          <w:lang w:val="en-US" w:eastAsia="ro-RO"/>
        </w:rPr>
        <w:t>” (tariful pentru colectarea separată și transportul separat al acestor deșeuri către operatorul de tratare)</w:t>
      </w:r>
      <w:r>
        <w:rPr>
          <w:rFonts w:hint="default" w:ascii="Times New Roman" w:hAnsi="Times New Roman" w:eastAsia="Times New Roman" w:cs="Times New Roman"/>
          <w:b w:val="0"/>
          <w:bCs w:val="0"/>
          <w:iCs/>
          <w:sz w:val="24"/>
          <w:szCs w:val="24"/>
          <w:lang w:val="en-US" w:eastAsia="ro-RO"/>
        </w:rPr>
        <w:t xml:space="preserve">, </w:t>
      </w:r>
      <w:r>
        <w:rPr>
          <w:rFonts w:hint="default" w:ascii="Times New Roman" w:hAnsi="Times New Roman"/>
          <w:lang w:val="en-US" w:eastAsia="ro-RO"/>
        </w:rPr>
        <w:t xml:space="preserve">în cuantum de </w:t>
      </w:r>
      <w:r>
        <w:rPr>
          <w:rFonts w:hint="default"/>
          <w:lang w:val="en-US" w:eastAsia="ro-RO"/>
        </w:rPr>
        <w:t>78,16</w:t>
      </w:r>
      <w:r>
        <w:rPr>
          <w:rFonts w:hint="default" w:ascii="Times New Roman" w:hAnsi="Times New Roman"/>
          <w:lang w:val="en-US" w:eastAsia="ro-RO"/>
        </w:rPr>
        <w:t xml:space="preserve"> lei/mc,</w:t>
      </w:r>
      <w:r>
        <w:rPr>
          <w:rFonts w:hint="default" w:ascii="Times New Roman" w:hAnsi="Times New Roman" w:eastAsia="Times New Roman" w:cs="Times New Roman"/>
          <w:b w:val="0"/>
          <w:bCs w:val="0"/>
          <w:iCs/>
          <w:sz w:val="24"/>
          <w:szCs w:val="24"/>
          <w:lang w:val="en-US" w:eastAsia="ro-RO"/>
        </w:rPr>
        <w:t xml:space="preserve"> </w:t>
      </w:r>
      <w:r>
        <w:rPr>
          <w:rFonts w:hint="default" w:ascii="Times New Roman" w:hAnsi="Times New Roman"/>
          <w:lang w:val="en-US" w:eastAsia="ro-RO"/>
        </w:rPr>
        <w:t>conform fișei de fundamentare din Anexa nr.</w:t>
      </w:r>
      <w:r>
        <w:rPr>
          <w:rFonts w:hint="default"/>
          <w:lang w:val="en-US" w:eastAsia="ro-RO"/>
        </w:rPr>
        <w:t>1</w:t>
      </w:r>
      <w:r>
        <w:rPr>
          <w:rFonts w:hint="default" w:ascii="Times New Roman" w:hAnsi="Times New Roman"/>
          <w:lang w:val="en-US" w:eastAsia="ro-RO"/>
        </w:rPr>
        <w:t xml:space="preserve"> a acestei hotărâri, ce se </w:t>
      </w:r>
      <w:r>
        <w:rPr>
          <w:rFonts w:hint="default" w:ascii="Times New Roman" w:hAnsi="Times New Roman" w:eastAsia="Times New Roman" w:cs="Times New Roman"/>
          <w:b w:val="0"/>
          <w:bCs w:val="0"/>
          <w:iCs/>
          <w:sz w:val="24"/>
          <w:szCs w:val="24"/>
          <w:lang w:val="en-US" w:eastAsia="ro-RO"/>
        </w:rPr>
        <w:t>aplică în</w:t>
      </w:r>
      <w:r>
        <w:rPr>
          <w:rFonts w:hint="default" w:ascii="Times New Roman" w:hAnsi="Times New Roman"/>
          <w:lang w:val="en-US" w:eastAsia="ro-RO"/>
        </w:rPr>
        <w:t xml:space="preserve"> Contractul de delegare a gestiunii prestării serviciilor de salubritate pe raza administrativă a Sectorului 1 -</w:t>
      </w:r>
      <w:r>
        <w:rPr>
          <w:rFonts w:hint="default" w:ascii="Times New Roman" w:hAnsi="Times New Roman" w:eastAsia="Times New Roman" w:cs="Times New Roman"/>
          <w:b w:val="0"/>
          <w:bCs w:val="0"/>
          <w:iCs/>
          <w:sz w:val="24"/>
          <w:szCs w:val="24"/>
          <w:lang w:val="en-US" w:eastAsia="ro-RO"/>
        </w:rPr>
        <w:t xml:space="preserve"> nr.J077/S/30.06.2008</w:t>
      </w:r>
      <w:r>
        <w:rPr>
          <w:rFonts w:hint="default" w:ascii="Times New Roman" w:hAnsi="Times New Roman"/>
          <w:lang w:val="en-US" w:eastAsia="ro-RO"/>
        </w:rPr>
        <w:t xml:space="preserve">, în locul tarifului de </w:t>
      </w:r>
      <w:r>
        <w:rPr>
          <w:rFonts w:hint="default" w:ascii="Times New Roman" w:hAnsi="Times New Roman" w:eastAsia="Times New Roman" w:cs="Times New Roman"/>
          <w:b w:val="0"/>
          <w:bCs w:val="0"/>
          <w:iCs/>
          <w:sz w:val="24"/>
          <w:szCs w:val="24"/>
          <w:lang w:val="en-US" w:eastAsia="ro-RO"/>
        </w:rPr>
        <w:t>colectare, transport și depozitare deșeuri din activități din construcții și demolări</w:t>
      </w:r>
      <w:r>
        <w:rPr>
          <w:rFonts w:hint="default" w:ascii="Times New Roman" w:hAnsi="Times New Roman"/>
          <w:lang w:val="en-US" w:eastAsia="ro-RO"/>
        </w:rPr>
        <w:t>.</w:t>
      </w:r>
    </w:p>
    <w:p>
      <w:pPr>
        <w:pStyle w:val="37"/>
        <w:numPr>
          <w:ilvl w:val="0"/>
          <w:numId w:val="6"/>
        </w:numPr>
        <w:ind w:left="0" w:leftChars="0" w:firstLine="0" w:firstLineChars="0"/>
        <w:rPr>
          <w:b w:val="0"/>
          <w:bCs w:val="0"/>
        </w:rPr>
      </w:pPr>
      <w:r>
        <w:rPr>
          <w:rFonts w:hint="default"/>
          <w:lang w:val="en-US" w:eastAsia="ro-RO"/>
        </w:rPr>
        <w:t xml:space="preserve">Tariful </w:t>
      </w:r>
      <w:r>
        <w:rPr>
          <w:rFonts w:hint="default"/>
          <w:lang w:val="ro-RO"/>
        </w:rPr>
        <w:t>pentru</w:t>
      </w:r>
      <w:r>
        <w:rPr>
          <w:rFonts w:hint="default" w:ascii="Times New Roman" w:hAnsi="Times New Roman"/>
          <w:lang w:val="ro-RO"/>
        </w:rPr>
        <w:t xml:space="preserve"> </w:t>
      </w:r>
      <w:r>
        <w:rPr>
          <w:rFonts w:hint="default" w:ascii="Times New Roman" w:hAnsi="Times New Roman" w:eastAsia="Times New Roman" w:cs="Times New Roman"/>
          <w:b w:val="0"/>
          <w:bCs w:val="0"/>
          <w:iCs/>
          <w:sz w:val="24"/>
          <w:szCs w:val="24"/>
          <w:lang w:val="en-US" w:eastAsia="ro-RO"/>
        </w:rPr>
        <w:t>gestionare</w:t>
      </w:r>
      <w:r>
        <w:rPr>
          <w:rFonts w:hint="default" w:eastAsia="Times New Roman" w:cs="Times New Roman"/>
          <w:b w:val="0"/>
          <w:bCs w:val="0"/>
          <w:iCs/>
          <w:sz w:val="24"/>
          <w:szCs w:val="24"/>
          <w:lang w:val="en-US" w:eastAsia="ro-RO"/>
        </w:rPr>
        <w:t xml:space="preserve">a </w:t>
      </w:r>
      <w:r>
        <w:rPr>
          <w:rFonts w:hint="default" w:ascii="Times New Roman" w:hAnsi="Times New Roman" w:eastAsia="Times New Roman" w:cs="Times New Roman"/>
          <w:b w:val="0"/>
          <w:bCs w:val="0"/>
          <w:iCs/>
          <w:sz w:val="24"/>
          <w:szCs w:val="24"/>
          <w:lang w:val="en-US" w:eastAsia="ro-RO"/>
        </w:rPr>
        <w:t>deşeurilor provenite din locuinţe, generate de activităţi de reamenajare şi reabilitare interioară şi/sau exterioară a acestora,</w:t>
      </w:r>
      <w:r>
        <w:rPr>
          <w:rFonts w:hint="default" w:eastAsia="Times New Roman" w:cs="Times New Roman"/>
          <w:b w:val="0"/>
          <w:bCs w:val="0"/>
          <w:iCs/>
          <w:sz w:val="24"/>
          <w:szCs w:val="24"/>
          <w:lang w:val="en-US" w:eastAsia="ro-RO"/>
        </w:rPr>
        <w:t xml:space="preserve"> </w:t>
      </w:r>
      <w:r>
        <w:rPr>
          <w:rFonts w:hint="default"/>
          <w:lang w:val="en-US" w:eastAsia="ro-RO"/>
        </w:rPr>
        <w:t xml:space="preserve">menționat la alin.(2), este obținut prin recalcularea tarifului </w:t>
      </w:r>
      <w:r>
        <w:rPr>
          <w:rFonts w:hint="default" w:ascii="Times New Roman" w:hAnsi="Times New Roman"/>
          <w:lang w:val="en-US" w:eastAsia="ro-RO"/>
        </w:rPr>
        <w:t xml:space="preserve">de </w:t>
      </w:r>
      <w:r>
        <w:rPr>
          <w:rFonts w:hint="default" w:ascii="Times New Roman" w:hAnsi="Times New Roman" w:eastAsia="Times New Roman" w:cs="Times New Roman"/>
          <w:b w:val="0"/>
          <w:bCs w:val="0"/>
          <w:iCs/>
          <w:sz w:val="24"/>
          <w:szCs w:val="24"/>
          <w:lang w:val="en-US" w:eastAsia="ro-RO"/>
        </w:rPr>
        <w:t>colectare, transport și depozitare deșeuri din activități din construcții și demolări</w:t>
      </w:r>
      <w:r>
        <w:rPr>
          <w:rFonts w:hint="default" w:eastAsia="Times New Roman" w:cs="Times New Roman"/>
          <w:b w:val="0"/>
          <w:bCs w:val="0"/>
          <w:iCs/>
          <w:sz w:val="24"/>
          <w:szCs w:val="24"/>
          <w:lang w:val="en-US" w:eastAsia="ro-RO"/>
        </w:rPr>
        <w:t xml:space="preserve"> din </w:t>
      </w:r>
      <w:r>
        <w:rPr>
          <w:rFonts w:hint="default" w:ascii="Times New Roman" w:hAnsi="Times New Roman"/>
          <w:lang w:val="en-US" w:eastAsia="ro-RO"/>
        </w:rPr>
        <w:t>Contractul de delegare a gestiunii prestării serviciilor de salubritate pe raza administrativă a Sectorului 1 -</w:t>
      </w:r>
      <w:r>
        <w:rPr>
          <w:rFonts w:hint="default" w:ascii="Times New Roman" w:hAnsi="Times New Roman" w:eastAsia="Times New Roman" w:cs="Times New Roman"/>
          <w:b w:val="0"/>
          <w:bCs w:val="0"/>
          <w:iCs/>
          <w:sz w:val="24"/>
          <w:szCs w:val="24"/>
          <w:lang w:val="en-US" w:eastAsia="ro-RO"/>
        </w:rPr>
        <w:t xml:space="preserve"> nr.J077/S/30.06.2008</w:t>
      </w:r>
      <w:r>
        <w:rPr>
          <w:rFonts w:hint="default" w:eastAsia="Times New Roman" w:cs="Times New Roman"/>
          <w:b w:val="0"/>
          <w:bCs w:val="0"/>
          <w:iCs/>
          <w:sz w:val="24"/>
          <w:szCs w:val="24"/>
          <w:lang w:val="en-US" w:eastAsia="ro-RO"/>
        </w:rPr>
        <w:t>, anume prin eliminarea din structura tarifului anterior menționat a cheltuielilor privind contribuția pentru economia circulară și activitățile de tratare și eliminare prin depozitare a deșeurilor, în conformitate cu art.V alin.(1) din OUG nr.133/2022, cu modificările ulterioare, precum și prin ajustarea acestui tarif cu</w:t>
      </w:r>
      <w:r>
        <w:rPr>
          <w:rFonts w:hint="default"/>
          <w:b w:val="0"/>
          <w:bCs w:val="0"/>
          <w:lang w:val="ro-RO"/>
        </w:rPr>
        <w:t xml:space="preserve"> coeficientul de indexare cu evoluţia indicelui preţului de consum total, precizat la art.1.</w:t>
      </w:r>
    </w:p>
    <w:p>
      <w:pPr>
        <w:pStyle w:val="37"/>
        <w:numPr>
          <w:ilvl w:val="0"/>
          <w:numId w:val="0"/>
        </w:numPr>
        <w:ind w:leftChars="0"/>
        <w:rPr>
          <w:rStyle w:val="45"/>
          <w:sz w:val="24"/>
          <w:szCs w:val="24"/>
          <w:lang w:val="ro-RO"/>
        </w:rPr>
      </w:pPr>
      <w:r>
        <w:rPr>
          <w:rStyle w:val="45"/>
          <w:rFonts w:hint="default"/>
          <w:b/>
          <w:bCs/>
          <w:sz w:val="24"/>
          <w:szCs w:val="24"/>
          <w:lang w:val="ro-RO"/>
        </w:rPr>
        <w:t>Art.4.</w:t>
      </w:r>
      <w:r>
        <w:rPr>
          <w:rStyle w:val="45"/>
          <w:rFonts w:hint="default"/>
          <w:sz w:val="24"/>
          <w:szCs w:val="24"/>
          <w:lang w:val="ro-RO"/>
        </w:rPr>
        <w:t xml:space="preserve"> </w:t>
      </w:r>
      <w:r>
        <w:rPr>
          <w:rStyle w:val="45"/>
          <w:sz w:val="24"/>
          <w:szCs w:val="24"/>
          <w:lang w:val="ro-RO"/>
        </w:rPr>
        <w:t>(1) Primarul Sectorului 1, Viceprimar</w:t>
      </w:r>
      <w:r>
        <w:rPr>
          <w:rStyle w:val="45"/>
          <w:rFonts w:hint="default" w:ascii="Times New Roman"/>
          <w:sz w:val="24"/>
          <w:szCs w:val="24"/>
          <w:lang w:val="ro-RO"/>
        </w:rPr>
        <w:t>ii</w:t>
      </w:r>
      <w:r>
        <w:rPr>
          <w:rStyle w:val="45"/>
          <w:sz w:val="24"/>
          <w:szCs w:val="24"/>
          <w:lang w:val="ro-RO"/>
        </w:rPr>
        <w:t xml:space="preserve"> Sectorului 1, </w:t>
      </w:r>
      <w:r>
        <w:rPr>
          <w:sz w:val="24"/>
          <w:szCs w:val="24"/>
          <w:lang w:val="ro-RO"/>
        </w:rPr>
        <w:t>Direcţia Generală Administraţie Publică Locală,</w:t>
      </w:r>
      <w:r>
        <w:rPr>
          <w:rStyle w:val="45"/>
          <w:sz w:val="24"/>
          <w:szCs w:val="24"/>
          <w:lang w:val="ro-RO"/>
        </w:rPr>
        <w:t xml:space="preserve"> Direcţia </w:t>
      </w:r>
      <w:r>
        <w:rPr>
          <w:rStyle w:val="45"/>
          <w:rFonts w:hint="default" w:ascii="Times New Roman"/>
          <w:sz w:val="24"/>
          <w:szCs w:val="24"/>
          <w:lang w:val="ro-RO"/>
        </w:rPr>
        <w:t>Investiții și</w:t>
      </w:r>
      <w:r>
        <w:rPr>
          <w:rStyle w:val="45"/>
          <w:sz w:val="24"/>
          <w:szCs w:val="24"/>
          <w:lang w:val="ro-RO"/>
        </w:rPr>
        <w:t xml:space="preserve"> Direcţia Management Economic</w:t>
      </w:r>
      <w:r>
        <w:rPr>
          <w:rStyle w:val="45"/>
          <w:rFonts w:hint="default" w:ascii="Times New Roman"/>
          <w:sz w:val="24"/>
          <w:szCs w:val="24"/>
          <w:lang w:val="ro-RO"/>
        </w:rPr>
        <w:t xml:space="preserve"> din cadrul aparatului de specialitate al Primarului Sectorului 1</w:t>
      </w:r>
      <w:r>
        <w:rPr>
          <w:rStyle w:val="45"/>
          <w:sz w:val="24"/>
          <w:szCs w:val="24"/>
          <w:lang w:val="ro-RO"/>
        </w:rPr>
        <w:t xml:space="preserve">, </w:t>
      </w:r>
      <w:r>
        <w:rPr>
          <w:rStyle w:val="45"/>
          <w:rFonts w:hint="default" w:ascii="Times New Roman"/>
          <w:sz w:val="24"/>
          <w:szCs w:val="24"/>
          <w:lang w:val="ro-RO"/>
        </w:rPr>
        <w:t xml:space="preserve">instituțiile/serviciile publice subordonate Primarului Sectorului 1 și Consiliului Local Sector1, precum și </w:t>
      </w:r>
      <w:r>
        <w:rPr>
          <w:rStyle w:val="45"/>
          <w:sz w:val="24"/>
          <w:szCs w:val="24"/>
          <w:lang w:val="ro-RO"/>
        </w:rPr>
        <w:t>Compania Romprest Service S.A, vor aduce la îndeplinire prevederile prezentei hotărâri.</w:t>
      </w:r>
    </w:p>
    <w:p>
      <w:pPr>
        <w:autoSpaceDE w:val="0"/>
        <w:autoSpaceDN w:val="0"/>
        <w:adjustRightInd w:val="0"/>
        <w:ind w:left="0" w:leftChars="0" w:firstLine="0" w:firstLineChars="0"/>
        <w:jc w:val="both"/>
        <w:rPr>
          <w:b/>
          <w:szCs w:val="28"/>
        </w:rPr>
      </w:pPr>
      <w:r>
        <w:rPr>
          <w:rStyle w:val="45"/>
          <w:sz w:val="24"/>
          <w:szCs w:val="24"/>
          <w:lang w:val="ro-RO"/>
        </w:rPr>
        <w:t>(2) Serviciul Tehnică Legislativă, Secretariat și Arhivă va asigura comunicarea prezentei hotărâri persoanelor și entităților menționate la alin. (1), precum și Instituției Prefectului Municipiului București.</w:t>
      </w:r>
    </w:p>
    <w:p>
      <w:pPr>
        <w:spacing w:after="0"/>
        <w:ind w:firstLine="0"/>
        <w:jc w:val="center"/>
        <w:rPr>
          <w:b/>
          <w:szCs w:val="28"/>
        </w:rPr>
      </w:pPr>
      <w:r>
        <w:rPr>
          <w:b/>
          <w:szCs w:val="28"/>
        </w:rPr>
        <w:t>AVIZEAZĂ,</w:t>
      </w:r>
    </w:p>
    <w:p>
      <w:pPr>
        <w:spacing w:after="0"/>
        <w:ind w:firstLine="0"/>
        <w:jc w:val="center"/>
        <w:rPr>
          <w:b/>
          <w:szCs w:val="28"/>
        </w:rPr>
      </w:pPr>
      <w:r>
        <w:rPr>
          <w:b/>
          <w:szCs w:val="28"/>
        </w:rPr>
        <w:t>conform art. 243, alin. (1), lit. a) din OUG nr. 57/2019</w:t>
      </w:r>
    </w:p>
    <w:p>
      <w:pPr>
        <w:spacing w:after="0"/>
        <w:ind w:firstLine="0"/>
        <w:jc w:val="center"/>
        <w:rPr>
          <w:b/>
          <w:szCs w:val="28"/>
        </w:rPr>
      </w:pPr>
      <w:r>
        <w:rPr>
          <w:b/>
          <w:szCs w:val="28"/>
        </w:rPr>
        <w:t>SECRETAR GENERAL</w:t>
      </w:r>
    </w:p>
    <w:p>
      <w:pPr>
        <w:ind w:left="0" w:leftChars="0" w:firstLine="0" w:firstLineChars="0"/>
        <w:rPr>
          <w:sz w:val="20"/>
          <w:szCs w:val="20"/>
        </w:rPr>
      </w:pPr>
    </w:p>
    <w:p>
      <w:pPr>
        <w:ind w:left="0" w:leftChars="0" w:firstLine="0" w:firstLineChars="0"/>
        <w:rPr>
          <w:sz w:val="20"/>
          <w:szCs w:val="20"/>
        </w:rPr>
      </w:pPr>
    </w:p>
    <w:tbl>
      <w:tblPr>
        <w:tblStyle w:val="6"/>
        <w:tblW w:w="9330"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510"/>
        <w:gridCol w:w="1890"/>
        <w:gridCol w:w="1319"/>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noWrap w:val="0"/>
            <w:vAlign w:val="top"/>
          </w:tcPr>
          <w:p>
            <w:pPr>
              <w:rPr>
                <w:sz w:val="20"/>
                <w:szCs w:val="20"/>
              </w:rPr>
            </w:pPr>
            <w:r>
              <w:rPr>
                <w:sz w:val="20"/>
                <w:szCs w:val="20"/>
              </w:rPr>
              <w:t>Nume Prenume</w:t>
            </w:r>
          </w:p>
        </w:tc>
        <w:tc>
          <w:tcPr>
            <w:tcW w:w="2510" w:type="dxa"/>
            <w:noWrap w:val="0"/>
            <w:vAlign w:val="top"/>
          </w:tcPr>
          <w:p>
            <w:pPr>
              <w:rPr>
                <w:sz w:val="20"/>
                <w:szCs w:val="20"/>
              </w:rPr>
            </w:pPr>
            <w:r>
              <w:rPr>
                <w:sz w:val="20"/>
                <w:szCs w:val="20"/>
              </w:rPr>
              <w:t>Funcția</w:t>
            </w:r>
          </w:p>
        </w:tc>
        <w:tc>
          <w:tcPr>
            <w:tcW w:w="1890" w:type="dxa"/>
            <w:noWrap w:val="0"/>
            <w:vAlign w:val="top"/>
          </w:tcPr>
          <w:p>
            <w:pPr>
              <w:ind w:left="0" w:leftChars="0" w:firstLine="0" w:firstLineChars="0"/>
              <w:jc w:val="center"/>
              <w:rPr>
                <w:sz w:val="20"/>
                <w:szCs w:val="20"/>
              </w:rPr>
            </w:pPr>
            <w:r>
              <w:rPr>
                <w:sz w:val="20"/>
                <w:szCs w:val="20"/>
              </w:rPr>
              <w:t>Semnătura</w:t>
            </w:r>
          </w:p>
        </w:tc>
        <w:tc>
          <w:tcPr>
            <w:tcW w:w="1319" w:type="dxa"/>
            <w:noWrap w:val="0"/>
            <w:vAlign w:val="top"/>
          </w:tcPr>
          <w:p>
            <w:pPr>
              <w:ind w:left="0" w:leftChars="0" w:firstLine="0" w:firstLineChars="0"/>
              <w:rPr>
                <w:sz w:val="20"/>
                <w:szCs w:val="20"/>
              </w:rPr>
            </w:pPr>
            <w:r>
              <w:rPr>
                <w:sz w:val="20"/>
                <w:szCs w:val="20"/>
              </w:rPr>
              <w:t>Întocmit/ Verificat/ Avizat</w:t>
            </w:r>
          </w:p>
        </w:tc>
        <w:tc>
          <w:tcPr>
            <w:tcW w:w="1201" w:type="dxa"/>
            <w:noWrap w:val="0"/>
            <w:vAlign w:val="top"/>
          </w:tcPr>
          <w:p>
            <w:pPr>
              <w:ind w:left="0" w:leftChars="0" w:firstLine="0" w:firstLineChars="0"/>
              <w:jc w:val="center"/>
              <w:rPr>
                <w:sz w:val="20"/>
                <w:szCs w:val="20"/>
              </w:rPr>
            </w:pPr>
            <w:r>
              <w:rPr>
                <w:sz w:val="20"/>
                <w:szCs w:val="20"/>
              </w:rPr>
              <w:t>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noWrap w:val="0"/>
            <w:vAlign w:val="top"/>
          </w:tcPr>
          <w:p>
            <w:pPr>
              <w:jc w:val="left"/>
              <w:rPr>
                <w:rFonts w:hint="default"/>
                <w:sz w:val="20"/>
                <w:szCs w:val="20"/>
                <w:lang w:val="ro-RO"/>
              </w:rPr>
            </w:pPr>
            <w:r>
              <w:rPr>
                <w:rFonts w:hint="default"/>
                <w:b/>
                <w:bCs/>
                <w:sz w:val="20"/>
                <w:szCs w:val="20"/>
                <w:lang w:val="ro-RO"/>
              </w:rPr>
              <w:t>Gușu Nicolae</w:t>
            </w:r>
          </w:p>
        </w:tc>
        <w:tc>
          <w:tcPr>
            <w:tcW w:w="2510" w:type="dxa"/>
            <w:noWrap w:val="0"/>
            <w:vAlign w:val="top"/>
          </w:tcPr>
          <w:p>
            <w:pPr>
              <w:ind w:left="0" w:leftChars="0" w:firstLine="0" w:firstLineChars="0"/>
              <w:jc w:val="left"/>
              <w:rPr>
                <w:rFonts w:hint="default"/>
                <w:sz w:val="20"/>
                <w:szCs w:val="20"/>
                <w:lang w:val="ro-RO"/>
              </w:rPr>
            </w:pPr>
            <w:r>
              <w:rPr>
                <w:rFonts w:hint="default"/>
                <w:sz w:val="20"/>
                <w:szCs w:val="20"/>
                <w:lang w:val="ro-RO"/>
              </w:rPr>
              <w:t>Director general adjunct</w:t>
            </w:r>
          </w:p>
          <w:p>
            <w:pPr>
              <w:ind w:left="0" w:leftChars="0" w:firstLine="0" w:firstLineChars="0"/>
              <w:jc w:val="left"/>
              <w:rPr>
                <w:rFonts w:hint="default"/>
                <w:sz w:val="20"/>
                <w:szCs w:val="20"/>
                <w:lang w:val="ro-RO"/>
              </w:rPr>
            </w:pPr>
            <w:r>
              <w:rPr>
                <w:rFonts w:hint="default"/>
                <w:sz w:val="20"/>
                <w:szCs w:val="20"/>
                <w:lang w:val="ro-RO"/>
              </w:rPr>
              <w:t>Direcția Generală Administrație Publică Locală</w:t>
            </w:r>
          </w:p>
        </w:tc>
        <w:tc>
          <w:tcPr>
            <w:tcW w:w="1890" w:type="dxa"/>
            <w:noWrap w:val="0"/>
            <w:vAlign w:val="top"/>
          </w:tcPr>
          <w:p>
            <w:pPr>
              <w:rPr>
                <w:sz w:val="20"/>
                <w:szCs w:val="20"/>
              </w:rPr>
            </w:pPr>
          </w:p>
        </w:tc>
        <w:tc>
          <w:tcPr>
            <w:tcW w:w="1319" w:type="dxa"/>
            <w:noWrap w:val="0"/>
            <w:vAlign w:val="top"/>
          </w:tcPr>
          <w:p>
            <w:pPr>
              <w:ind w:left="0" w:leftChars="0" w:firstLine="0" w:firstLineChars="0"/>
              <w:rPr>
                <w:rFonts w:hint="default"/>
                <w:sz w:val="20"/>
                <w:szCs w:val="20"/>
                <w:lang w:val="ro-RO"/>
              </w:rPr>
            </w:pPr>
            <w:r>
              <w:rPr>
                <w:rFonts w:hint="default"/>
                <w:sz w:val="20"/>
                <w:szCs w:val="20"/>
                <w:lang w:val="ro-RO"/>
              </w:rPr>
              <w:t>Întocmit</w:t>
            </w:r>
          </w:p>
        </w:tc>
        <w:tc>
          <w:tcPr>
            <w:tcW w:w="1201" w:type="dxa"/>
            <w:noWrap w:val="0"/>
            <w:vAlign w:val="top"/>
          </w:tcPr>
          <w:p>
            <w:pPr>
              <w:ind w:left="0" w:leftChars="0" w:firstLine="0" w:firstLineChars="0"/>
              <w:rPr>
                <w:rFonts w:hint="default"/>
                <w:sz w:val="20"/>
                <w:szCs w:val="20"/>
                <w:lang w:val="ro-RO"/>
              </w:rPr>
            </w:pPr>
            <w:r>
              <w:rPr>
                <w:rFonts w:hint="default"/>
                <w:sz w:val="20"/>
                <w:szCs w:val="20"/>
                <w:lang w:val="ro-RO"/>
              </w:rPr>
              <w:t>15.11.2023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noWrap w:val="0"/>
            <w:vAlign w:val="top"/>
          </w:tcPr>
          <w:p>
            <w:pPr>
              <w:jc w:val="left"/>
              <w:rPr>
                <w:rFonts w:hint="default"/>
                <w:b/>
                <w:bCs/>
                <w:sz w:val="20"/>
                <w:szCs w:val="20"/>
                <w:lang w:val="ro-RO"/>
              </w:rPr>
            </w:pPr>
            <w:r>
              <w:rPr>
                <w:rFonts w:hint="default"/>
                <w:b/>
                <w:bCs/>
                <w:sz w:val="20"/>
                <w:szCs w:val="20"/>
                <w:lang w:val="ro-RO"/>
              </w:rPr>
              <w:t>Presecan Nicolae</w:t>
            </w:r>
          </w:p>
        </w:tc>
        <w:tc>
          <w:tcPr>
            <w:tcW w:w="2510" w:type="dxa"/>
            <w:noWrap w:val="0"/>
            <w:vAlign w:val="top"/>
          </w:tcPr>
          <w:p>
            <w:pPr>
              <w:ind w:left="0" w:leftChars="0" w:firstLine="0" w:firstLineChars="0"/>
              <w:jc w:val="left"/>
              <w:rPr>
                <w:rFonts w:hint="default"/>
                <w:sz w:val="20"/>
                <w:szCs w:val="20"/>
                <w:lang w:val="ro-RO"/>
              </w:rPr>
            </w:pPr>
            <w:r>
              <w:rPr>
                <w:rFonts w:hint="default"/>
                <w:sz w:val="20"/>
                <w:szCs w:val="20"/>
                <w:lang w:val="ro-RO"/>
              </w:rPr>
              <w:t>Șef serviciu</w:t>
            </w:r>
          </w:p>
          <w:p>
            <w:pPr>
              <w:ind w:left="0" w:leftChars="0" w:firstLine="0" w:firstLineChars="0"/>
              <w:jc w:val="left"/>
              <w:rPr>
                <w:rFonts w:hint="default"/>
                <w:sz w:val="20"/>
                <w:szCs w:val="20"/>
                <w:lang w:val="ro-RO"/>
              </w:rPr>
            </w:pPr>
            <w:r>
              <w:rPr>
                <w:rFonts w:hint="default"/>
                <w:sz w:val="20"/>
                <w:szCs w:val="20"/>
                <w:lang w:val="ro-RO"/>
              </w:rPr>
              <w:t>Serviciul Autorizații de Funcționare și Servicii Publice</w:t>
            </w:r>
          </w:p>
        </w:tc>
        <w:tc>
          <w:tcPr>
            <w:tcW w:w="1890" w:type="dxa"/>
            <w:noWrap w:val="0"/>
            <w:vAlign w:val="top"/>
          </w:tcPr>
          <w:p>
            <w:pPr>
              <w:rPr>
                <w:sz w:val="20"/>
                <w:szCs w:val="20"/>
              </w:rPr>
            </w:pPr>
          </w:p>
        </w:tc>
        <w:tc>
          <w:tcPr>
            <w:tcW w:w="1319" w:type="dxa"/>
            <w:noWrap w:val="0"/>
            <w:vAlign w:val="top"/>
          </w:tcPr>
          <w:p>
            <w:pPr>
              <w:ind w:left="0" w:leftChars="0" w:firstLine="0" w:firstLineChars="0"/>
              <w:rPr>
                <w:rFonts w:hint="default"/>
                <w:sz w:val="20"/>
                <w:szCs w:val="20"/>
                <w:lang w:val="ro-RO"/>
              </w:rPr>
            </w:pPr>
            <w:r>
              <w:rPr>
                <w:rFonts w:hint="default"/>
                <w:sz w:val="20"/>
                <w:szCs w:val="20"/>
                <w:lang w:val="ro-RO"/>
              </w:rPr>
              <w:t>Întocmit</w:t>
            </w:r>
          </w:p>
        </w:tc>
        <w:tc>
          <w:tcPr>
            <w:tcW w:w="1201" w:type="dxa"/>
            <w:noWrap w:val="0"/>
            <w:vAlign w:val="top"/>
          </w:tcPr>
          <w:p>
            <w:pPr>
              <w:ind w:left="0" w:leftChars="0" w:firstLine="0" w:firstLineChars="0"/>
              <w:rPr>
                <w:rFonts w:hint="default"/>
                <w:sz w:val="20"/>
                <w:szCs w:val="20"/>
                <w:lang w:val="ro-RO"/>
              </w:rPr>
            </w:pPr>
            <w:r>
              <w:rPr>
                <w:rFonts w:hint="default"/>
                <w:sz w:val="20"/>
                <w:szCs w:val="20"/>
                <w:lang w:val="ro-RO"/>
              </w:rPr>
              <w:t>15.11</w:t>
            </w:r>
            <w:bookmarkStart w:id="0" w:name="_GoBack"/>
            <w:bookmarkEnd w:id="0"/>
            <w:r>
              <w:rPr>
                <w:rFonts w:hint="default"/>
                <w:sz w:val="20"/>
                <w:szCs w:val="20"/>
                <w:lang w:val="ro-RO"/>
              </w:rPr>
              <w:t>.2023</w:t>
            </w:r>
          </w:p>
        </w:tc>
      </w:tr>
    </w:tbl>
    <w:p>
      <w:pPr>
        <w:ind w:left="0" w:leftChars="0" w:firstLine="0" w:firstLineChars="0"/>
        <w:rPr>
          <w:sz w:val="20"/>
          <w:szCs w:val="20"/>
        </w:rPr>
      </w:pPr>
    </w:p>
    <w:sectPr>
      <w:pgSz w:w="12240" w:h="15840"/>
      <w:pgMar w:top="851" w:right="1183" w:bottom="1276" w:left="1440" w:header="0" w:footer="401" w:gutter="0"/>
      <w:cols w:space="708" w:num="1"/>
      <w:formProt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EE"/>
    <w:family w:val="swiss"/>
    <w:pitch w:val="default"/>
    <w:sig w:usb0="E4002EFF" w:usb1="C200247B" w:usb2="00000009" w:usb3="00000000" w:csb0="200001FF" w:csb1="00000000"/>
  </w:font>
  <w:font w:name="Segoe UI">
    <w:panose1 w:val="020B0502040204020203"/>
    <w:charset w:val="EE"/>
    <w:family w:val="swiss"/>
    <w:pitch w:val="default"/>
    <w:sig w:usb0="E4002EFF" w:usb1="C000E47F" w:usb2="00000009" w:usb3="00000000" w:csb0="200001FF" w:csb1="00000000"/>
  </w:font>
  <w:font w:name="Lucida Sans">
    <w:panose1 w:val="020B0602030504020204"/>
    <w:charset w:val="00"/>
    <w:family w:val="swiss"/>
    <w:pitch w:val="default"/>
    <w:sig w:usb0="00000003" w:usb1="00000000" w:usb2="00000000" w:usb3="00000000" w:csb0="20000001" w:csb1="0000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CD82E"/>
    <w:multiLevelType w:val="singleLevel"/>
    <w:tmpl w:val="DA5CD82E"/>
    <w:lvl w:ilvl="0" w:tentative="0">
      <w:start w:val="2"/>
      <w:numFmt w:val="decimal"/>
      <w:suff w:val="space"/>
      <w:lvlText w:val="(%1)"/>
      <w:lvlJc w:val="left"/>
    </w:lvl>
  </w:abstractNum>
  <w:abstractNum w:abstractNumId="1">
    <w:nsid w:val="DE7E84C7"/>
    <w:multiLevelType w:val="singleLevel"/>
    <w:tmpl w:val="DE7E84C7"/>
    <w:lvl w:ilvl="0" w:tentative="0">
      <w:start w:val="2"/>
      <w:numFmt w:val="decimal"/>
      <w:suff w:val="space"/>
      <w:lvlText w:val="(%1)"/>
      <w:lvlJc w:val="left"/>
    </w:lvl>
  </w:abstractNum>
  <w:abstractNum w:abstractNumId="2">
    <w:nsid w:val="30FC7745"/>
    <w:multiLevelType w:val="multilevel"/>
    <w:tmpl w:val="30FC7745"/>
    <w:lvl w:ilvl="0" w:tentative="0">
      <w:start w:val="1"/>
      <w:numFmt w:val="decimal"/>
      <w:pStyle w:val="33"/>
      <w:lvlText w:val="(%1)"/>
      <w:lvlJc w:val="left"/>
      <w:pPr>
        <w:tabs>
          <w:tab w:val="left" w:pos="0"/>
        </w:tabs>
        <w:ind w:left="720" w:hanging="360"/>
      </w:pPr>
      <w:rPr>
        <w:rFonts w:ascii="Times New Roman Bold" w:hAnsi="Times New Roman Bold"/>
        <w:b/>
        <w:i w:val="0"/>
        <w:caps w:val="0"/>
        <w:smallCaps w:val="0"/>
        <w:strike w:val="0"/>
        <w:dstrike w:val="0"/>
        <w:vanish w:val="0"/>
        <w:color w:val="auto"/>
        <w:position w:val="0"/>
        <w:sz w:val="24"/>
        <w:vertAlign w:val="baseline"/>
      </w:r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3">
    <w:nsid w:val="3671662A"/>
    <w:multiLevelType w:val="singleLevel"/>
    <w:tmpl w:val="3671662A"/>
    <w:lvl w:ilvl="0" w:tentative="0">
      <w:start w:val="2"/>
      <w:numFmt w:val="decimal"/>
      <w:suff w:val="space"/>
      <w:lvlText w:val="(%1)"/>
      <w:lvlJc w:val="left"/>
    </w:lvl>
  </w:abstractNum>
  <w:abstractNum w:abstractNumId="4">
    <w:nsid w:val="3E370197"/>
    <w:multiLevelType w:val="multilevel"/>
    <w:tmpl w:val="3E370197"/>
    <w:lvl w:ilvl="0" w:tentative="0">
      <w:start w:val="1"/>
      <w:numFmt w:val="upperRoman"/>
      <w:pStyle w:val="34"/>
      <w:lvlText w:val="Capitolul %1."/>
      <w:lvlJc w:val="left"/>
      <w:pPr>
        <w:tabs>
          <w:tab w:val="left" w:pos="0"/>
        </w:tabs>
        <w:ind w:left="0" w:firstLine="567"/>
      </w:pPr>
      <w:rPr>
        <w:rFonts w:ascii="Times New Roman" w:hAnsi="Times New Roman"/>
        <w:b/>
        <w:bCs/>
        <w:i w:val="0"/>
        <w:caps w:val="0"/>
        <w:smallCaps w:val="0"/>
        <w:strike w:val="0"/>
        <w:dstrike w:val="0"/>
        <w:shadow w:val="0"/>
        <w:emboss w:val="0"/>
        <w:imprint w:val="0"/>
        <w:vanish w:val="0"/>
        <w:color w:val="auto"/>
        <w:position w:val="0"/>
        <w:sz w:val="24"/>
        <w:vertAlign w:val="baseline"/>
      </w:rPr>
    </w:lvl>
    <w:lvl w:ilvl="1" w:tentative="0">
      <w:start w:val="1"/>
      <w:numFmt w:val="decimal"/>
      <w:lvlText w:val="Art. %2."/>
      <w:lvlJc w:val="left"/>
      <w:pPr>
        <w:tabs>
          <w:tab w:val="left" w:pos="992"/>
        </w:tabs>
        <w:ind w:left="0" w:firstLine="567"/>
      </w:pPr>
      <w:rPr>
        <w:rFonts w:ascii="Times New Roman Bold" w:hAnsi="Times New Roman Bold"/>
        <w:b/>
        <w:i w:val="0"/>
        <w:caps w:val="0"/>
        <w:smallCaps w:val="0"/>
        <w:strike w:val="0"/>
        <w:dstrike w:val="0"/>
        <w:outline w:val="0"/>
        <w:shadow w:val="0"/>
        <w:emboss w:val="0"/>
        <w:imprint w:val="0"/>
        <w:vanish w:val="0"/>
        <w:color w:val="auto"/>
        <w:position w:val="0"/>
        <w:sz w:val="24"/>
        <w:vertAlign w:val="baseline"/>
      </w:rPr>
    </w:lvl>
    <w:lvl w:ilvl="2" w:tentative="0">
      <w:start w:val="1"/>
      <w:numFmt w:val="decimal"/>
      <w:lvlText w:val="(%3)"/>
      <w:lvlJc w:val="left"/>
      <w:pPr>
        <w:tabs>
          <w:tab w:val="left" w:pos="992"/>
        </w:tabs>
        <w:ind w:left="0" w:firstLine="567"/>
      </w:pPr>
      <w:rPr>
        <w:rFonts w:ascii="Times New Roman" w:hAnsi="Times New Roman"/>
        <w:b w:val="0"/>
        <w:i w:val="0"/>
        <w:caps w:val="0"/>
        <w:smallCaps w:val="0"/>
        <w:strike w:val="0"/>
        <w:dstrike w:val="0"/>
        <w:outline w:val="0"/>
        <w:shadow w:val="0"/>
        <w:emboss w:val="0"/>
        <w:imprint w:val="0"/>
        <w:vanish w:val="0"/>
        <w:color w:val="auto"/>
        <w:position w:val="0"/>
        <w:sz w:val="24"/>
        <w:vertAlign w:val="baseline"/>
      </w:rPr>
    </w:lvl>
    <w:lvl w:ilvl="3" w:tentative="0">
      <w:start w:val="1"/>
      <w:numFmt w:val="lowerLetter"/>
      <w:lvlText w:val="%4)"/>
      <w:lvlJc w:val="left"/>
      <w:pPr>
        <w:tabs>
          <w:tab w:val="left" w:pos="425"/>
        </w:tabs>
        <w:ind w:left="0" w:firstLine="567"/>
      </w:pPr>
      <w:rPr>
        <w:rFonts w:ascii="Times New Roman" w:hAnsi="Times New Roman"/>
        <w:b w:val="0"/>
        <w:i w:val="0"/>
        <w:caps w:val="0"/>
        <w:smallCaps w:val="0"/>
        <w:strike w:val="0"/>
        <w:dstrike w:val="0"/>
        <w:outline w:val="0"/>
        <w:shadow w:val="0"/>
        <w:emboss w:val="0"/>
        <w:imprint w:val="0"/>
        <w:vanish w:val="0"/>
        <w:color w:val="auto"/>
        <w:position w:val="0"/>
        <w:sz w:val="24"/>
        <w:vertAlign w:val="baseline"/>
      </w:rPr>
    </w:lvl>
    <w:lvl w:ilvl="4" w:tentative="0">
      <w:start w:val="1"/>
      <w:numFmt w:val="none"/>
      <w:suff w:val="nothing"/>
      <w:lvlText w:val=""/>
      <w:lvlJc w:val="left"/>
      <w:pPr>
        <w:tabs>
          <w:tab w:val="left" w:pos="0"/>
        </w:tabs>
        <w:ind w:left="0" w:firstLine="567"/>
      </w:pPr>
      <w:rPr>
        <w:b/>
        <w:i w:val="0"/>
        <w:sz w:val="22"/>
      </w:rPr>
    </w:lvl>
    <w:lvl w:ilvl="5" w:tentative="0">
      <w:start w:val="2"/>
      <w:numFmt w:val="none"/>
      <w:suff w:val="nothing"/>
      <w:lvlText w:val=""/>
      <w:lvlJc w:val="left"/>
      <w:pPr>
        <w:tabs>
          <w:tab w:val="left" w:pos="0"/>
        </w:tabs>
        <w:ind w:left="0" w:firstLine="567"/>
      </w:pPr>
      <w:rPr>
        <w:b w:val="0"/>
        <w:i w:val="0"/>
        <w:sz w:val="22"/>
      </w:rPr>
    </w:lvl>
    <w:lvl w:ilvl="6" w:tentative="0">
      <w:start w:val="1"/>
      <w:numFmt w:val="none"/>
      <w:suff w:val="nothing"/>
      <w:lvlText w:val=""/>
      <w:lvlJc w:val="left"/>
      <w:pPr>
        <w:tabs>
          <w:tab w:val="left" w:pos="0"/>
        </w:tabs>
        <w:ind w:left="0" w:firstLine="567"/>
      </w:pPr>
      <w:rPr>
        <w:b w:val="0"/>
        <w:i w:val="0"/>
        <w:color w:val="auto"/>
        <w:sz w:val="22"/>
      </w:rPr>
    </w:lvl>
    <w:lvl w:ilvl="7" w:tentative="0">
      <w:start w:val="1"/>
      <w:numFmt w:val="lowerRoman"/>
      <w:lvlText w:val="(%8)"/>
      <w:lvlJc w:val="left"/>
      <w:pPr>
        <w:tabs>
          <w:tab w:val="left" w:pos="0"/>
        </w:tabs>
        <w:ind w:left="0" w:firstLine="567"/>
      </w:pPr>
      <w:rPr>
        <w:rFonts w:ascii="Times New Roman" w:hAnsi="Times New Roman"/>
        <w:b w:val="0"/>
        <w:i w:val="0"/>
        <w:sz w:val="22"/>
      </w:rPr>
    </w:lvl>
    <w:lvl w:ilvl="8" w:tentative="0">
      <w:start w:val="1"/>
      <w:numFmt w:val="lowerRoman"/>
      <w:lvlText w:val="%9."/>
      <w:lvlJc w:val="left"/>
      <w:pPr>
        <w:tabs>
          <w:tab w:val="left" w:pos="0"/>
        </w:tabs>
        <w:ind w:left="0" w:firstLine="567"/>
      </w:pPr>
      <w:rPr>
        <w:sz w:val="22"/>
      </w:rPr>
    </w:lvl>
  </w:abstractNum>
  <w:abstractNum w:abstractNumId="5">
    <w:nsid w:val="7B6C421F"/>
    <w:multiLevelType w:val="multilevel"/>
    <w:tmpl w:val="7B6C421F"/>
    <w:lvl w:ilvl="0" w:tentative="0">
      <w:start w:val="1"/>
      <w:numFmt w:val="none"/>
      <w:pStyle w:val="35"/>
      <w:suff w:val="nothing"/>
      <w:lvlText w:val=""/>
      <w:lvlJc w:val="left"/>
      <w:pPr>
        <w:tabs>
          <w:tab w:val="left" w:pos="0"/>
        </w:tabs>
        <w:ind w:left="0" w:firstLine="567"/>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eastAsia="zh-CN" w:bidi="zh-CN"/>
      </w:rPr>
    </w:lvl>
    <w:lvl w:ilvl="1" w:tentative="0">
      <w:start w:val="1"/>
      <w:numFmt w:val="decimal"/>
      <w:lvlText w:val="(%2)"/>
      <w:lvlJc w:val="left"/>
      <w:pPr>
        <w:tabs>
          <w:tab w:val="left" w:pos="992"/>
        </w:tabs>
        <w:ind w:left="0" w:firstLine="567"/>
      </w:pPr>
      <w:rPr>
        <w:rFonts w:ascii="Times New Roman" w:hAnsi="Times New Roman"/>
        <w:b w:val="0"/>
        <w:i w:val="0"/>
        <w:caps w:val="0"/>
        <w:smallCaps w:val="0"/>
        <w:strike w:val="0"/>
        <w:dstrike w:val="0"/>
        <w:outline w:val="0"/>
        <w:shadow w:val="0"/>
        <w:emboss w:val="0"/>
        <w:imprint w:val="0"/>
        <w:vanish w:val="0"/>
        <w:color w:val="auto"/>
        <w:position w:val="0"/>
        <w:sz w:val="24"/>
        <w:vertAlign w:val="baseline"/>
      </w:rPr>
    </w:lvl>
    <w:lvl w:ilvl="2" w:tentative="0">
      <w:start w:val="1"/>
      <w:numFmt w:val="lowerLetter"/>
      <w:lvlText w:val="%3)"/>
      <w:lvlJc w:val="left"/>
      <w:pPr>
        <w:tabs>
          <w:tab w:val="left" w:pos="992"/>
        </w:tabs>
        <w:ind w:left="0" w:firstLine="567"/>
      </w:pPr>
      <w:rPr>
        <w:rFonts w:ascii="Times New Roman" w:hAnsi="Times New Roman"/>
        <w:b w:val="0"/>
        <w:i w:val="0"/>
        <w:caps w:val="0"/>
        <w:smallCaps w:val="0"/>
        <w:strike w:val="0"/>
        <w:dstrike w:val="0"/>
        <w:outline w:val="0"/>
        <w:shadow w:val="0"/>
        <w:emboss w:val="0"/>
        <w:imprint w:val="0"/>
        <w:vanish w:val="0"/>
        <w:color w:val="auto"/>
        <w:position w:val="0"/>
        <w:sz w:val="24"/>
        <w:vertAlign w:val="baseline"/>
      </w:rPr>
    </w:lvl>
    <w:lvl w:ilvl="3" w:tentative="0">
      <w:start w:val="1"/>
      <w:numFmt w:val="decimal"/>
      <w:lvlText w:val="(%3.%4)"/>
      <w:lvlJc w:val="left"/>
      <w:pPr>
        <w:tabs>
          <w:tab w:val="left" w:pos="425"/>
        </w:tabs>
        <w:ind w:left="0" w:firstLine="567"/>
      </w:pPr>
      <w:rPr>
        <w:rFonts w:ascii="Times New Roman" w:hAnsi="Times New Roman"/>
        <w:b w:val="0"/>
        <w:i w:val="0"/>
        <w:caps w:val="0"/>
        <w:smallCaps w:val="0"/>
        <w:strike w:val="0"/>
        <w:dstrike w:val="0"/>
        <w:outline w:val="0"/>
        <w:shadow w:val="0"/>
        <w:emboss w:val="0"/>
        <w:imprint w:val="0"/>
        <w:vanish w:val="0"/>
        <w:color w:val="auto"/>
        <w:position w:val="0"/>
        <w:sz w:val="24"/>
        <w:vertAlign w:val="baseline"/>
      </w:rPr>
    </w:lvl>
    <w:lvl w:ilvl="4" w:tentative="0">
      <w:start w:val="1"/>
      <w:numFmt w:val="upperLetter"/>
      <w:lvlText w:val="%5."/>
      <w:lvlJc w:val="left"/>
      <w:pPr>
        <w:tabs>
          <w:tab w:val="left" w:pos="0"/>
        </w:tabs>
        <w:ind w:left="0" w:firstLine="567"/>
      </w:pPr>
      <w:rPr>
        <w:rFonts w:ascii="Times New Roman" w:hAnsi="Times New Roman"/>
        <w:b/>
        <w:i w:val="0"/>
        <w:sz w:val="22"/>
      </w:rPr>
    </w:lvl>
    <w:lvl w:ilvl="5" w:tentative="0">
      <w:start w:val="2"/>
      <w:numFmt w:val="decimal"/>
      <w:lvlText w:val="(%6)"/>
      <w:lvlJc w:val="left"/>
      <w:pPr>
        <w:tabs>
          <w:tab w:val="left" w:pos="0"/>
        </w:tabs>
        <w:ind w:left="0" w:firstLine="567"/>
      </w:pPr>
      <w:rPr>
        <w:rFonts w:ascii="Times New Roman" w:hAnsi="Times New Roman"/>
        <w:b w:val="0"/>
        <w:i w:val="0"/>
        <w:sz w:val="22"/>
      </w:rPr>
    </w:lvl>
    <w:lvl w:ilvl="6" w:tentative="0">
      <w:start w:val="1"/>
      <w:numFmt w:val="lowerLetter"/>
      <w:lvlText w:val="%7)"/>
      <w:lvlJc w:val="left"/>
      <w:pPr>
        <w:tabs>
          <w:tab w:val="left" w:pos="0"/>
        </w:tabs>
        <w:ind w:left="0" w:firstLine="567"/>
      </w:pPr>
      <w:rPr>
        <w:rFonts w:ascii="Times New Roman" w:hAnsi="Times New Roman"/>
        <w:b w:val="0"/>
        <w:i w:val="0"/>
        <w:color w:val="auto"/>
        <w:sz w:val="22"/>
      </w:rPr>
    </w:lvl>
    <w:lvl w:ilvl="7" w:tentative="0">
      <w:start w:val="1"/>
      <w:numFmt w:val="lowerRoman"/>
      <w:lvlText w:val="(%8)"/>
      <w:lvlJc w:val="left"/>
      <w:pPr>
        <w:tabs>
          <w:tab w:val="left" w:pos="0"/>
        </w:tabs>
        <w:ind w:left="0" w:firstLine="567"/>
      </w:pPr>
      <w:rPr>
        <w:rFonts w:ascii="Times New Roman" w:hAnsi="Times New Roman"/>
        <w:b w:val="0"/>
        <w:i w:val="0"/>
        <w:sz w:val="22"/>
      </w:rPr>
    </w:lvl>
    <w:lvl w:ilvl="8" w:tentative="0">
      <w:start w:val="1"/>
      <w:numFmt w:val="lowerRoman"/>
      <w:lvlText w:val="%9."/>
      <w:lvlJc w:val="left"/>
      <w:pPr>
        <w:tabs>
          <w:tab w:val="left" w:pos="0"/>
        </w:tabs>
        <w:ind w:left="0" w:firstLine="567"/>
      </w:pPr>
      <w:rPr>
        <w:sz w:val="22"/>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autoHyphenation/>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145"/>
    <w:rsid w:val="000A275B"/>
    <w:rsid w:val="00233F0B"/>
    <w:rsid w:val="002A7DF9"/>
    <w:rsid w:val="00352472"/>
    <w:rsid w:val="003F6771"/>
    <w:rsid w:val="004909D0"/>
    <w:rsid w:val="004E20A8"/>
    <w:rsid w:val="00526662"/>
    <w:rsid w:val="00566462"/>
    <w:rsid w:val="00623580"/>
    <w:rsid w:val="00637E33"/>
    <w:rsid w:val="006A63EE"/>
    <w:rsid w:val="006B6C71"/>
    <w:rsid w:val="0079632C"/>
    <w:rsid w:val="008053E3"/>
    <w:rsid w:val="00967BAE"/>
    <w:rsid w:val="009A3B5F"/>
    <w:rsid w:val="00A27545"/>
    <w:rsid w:val="00A44351"/>
    <w:rsid w:val="00A65145"/>
    <w:rsid w:val="00AC0736"/>
    <w:rsid w:val="00BB3269"/>
    <w:rsid w:val="00C1649F"/>
    <w:rsid w:val="00C806EB"/>
    <w:rsid w:val="00D83C7A"/>
    <w:rsid w:val="00DA2840"/>
    <w:rsid w:val="00E44B91"/>
    <w:rsid w:val="00F07EBE"/>
    <w:rsid w:val="020823CE"/>
    <w:rsid w:val="02FC29CA"/>
    <w:rsid w:val="086E1B1D"/>
    <w:rsid w:val="095C5963"/>
    <w:rsid w:val="0A9B1258"/>
    <w:rsid w:val="0B8D2240"/>
    <w:rsid w:val="0C346C58"/>
    <w:rsid w:val="0C5F788A"/>
    <w:rsid w:val="0EBE6839"/>
    <w:rsid w:val="10862493"/>
    <w:rsid w:val="114A65CB"/>
    <w:rsid w:val="11EA1733"/>
    <w:rsid w:val="139D1112"/>
    <w:rsid w:val="162D6BB3"/>
    <w:rsid w:val="18A31A7B"/>
    <w:rsid w:val="18D914E0"/>
    <w:rsid w:val="194E4B3E"/>
    <w:rsid w:val="19EB35EB"/>
    <w:rsid w:val="1A694A56"/>
    <w:rsid w:val="1DAC6EEE"/>
    <w:rsid w:val="1EF02FCB"/>
    <w:rsid w:val="1FED6FDA"/>
    <w:rsid w:val="1FF75B90"/>
    <w:rsid w:val="225D6382"/>
    <w:rsid w:val="23511A66"/>
    <w:rsid w:val="23DD5298"/>
    <w:rsid w:val="25DA2D03"/>
    <w:rsid w:val="269146F1"/>
    <w:rsid w:val="291C4349"/>
    <w:rsid w:val="2D1013EF"/>
    <w:rsid w:val="32C56697"/>
    <w:rsid w:val="33A75E94"/>
    <w:rsid w:val="37672A7D"/>
    <w:rsid w:val="3A3A59FF"/>
    <w:rsid w:val="3AC644EB"/>
    <w:rsid w:val="3E821364"/>
    <w:rsid w:val="404345D9"/>
    <w:rsid w:val="412B7D63"/>
    <w:rsid w:val="41670357"/>
    <w:rsid w:val="416F39E4"/>
    <w:rsid w:val="41920F18"/>
    <w:rsid w:val="41D82637"/>
    <w:rsid w:val="42994676"/>
    <w:rsid w:val="44D96783"/>
    <w:rsid w:val="46876DD4"/>
    <w:rsid w:val="46F87F22"/>
    <w:rsid w:val="47C63DD4"/>
    <w:rsid w:val="47EC08F5"/>
    <w:rsid w:val="4BE86690"/>
    <w:rsid w:val="4DF667F3"/>
    <w:rsid w:val="4E2C3DCA"/>
    <w:rsid w:val="50162A30"/>
    <w:rsid w:val="55020516"/>
    <w:rsid w:val="58424130"/>
    <w:rsid w:val="598C7351"/>
    <w:rsid w:val="59BB09D1"/>
    <w:rsid w:val="59E5428F"/>
    <w:rsid w:val="5D06130C"/>
    <w:rsid w:val="5EEF4A24"/>
    <w:rsid w:val="5F3131CD"/>
    <w:rsid w:val="5FC734C3"/>
    <w:rsid w:val="603508D6"/>
    <w:rsid w:val="620831FD"/>
    <w:rsid w:val="646B5F29"/>
    <w:rsid w:val="64F700FF"/>
    <w:rsid w:val="65C522AB"/>
    <w:rsid w:val="66613293"/>
    <w:rsid w:val="67C95523"/>
    <w:rsid w:val="6ABF6DBC"/>
    <w:rsid w:val="6BE678AD"/>
    <w:rsid w:val="6CB23616"/>
    <w:rsid w:val="6E2C18F1"/>
    <w:rsid w:val="70433285"/>
    <w:rsid w:val="744B52F8"/>
    <w:rsid w:val="74AA16D7"/>
    <w:rsid w:val="75884D9A"/>
    <w:rsid w:val="759C62C3"/>
    <w:rsid w:val="759F1818"/>
    <w:rsid w:val="7883046B"/>
    <w:rsid w:val="79641BBB"/>
    <w:rsid w:val="7AB868A1"/>
    <w:rsid w:val="7CC60D0F"/>
    <w:rsid w:val="7D496A92"/>
    <w:rsid w:val="7D50630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20"/>
      <w:ind w:firstLine="567"/>
      <w:jc w:val="both"/>
    </w:pPr>
    <w:rPr>
      <w:rFonts w:ascii="Times New Roman" w:hAnsi="Times New Roman" w:eastAsiaTheme="minorHAnsi" w:cstheme="minorBidi"/>
      <w:sz w:val="24"/>
      <w:szCs w:val="22"/>
      <w:lang w:val="ro-RO" w:eastAsia="en-US" w:bidi="ar-SA"/>
    </w:rPr>
  </w:style>
  <w:style w:type="paragraph" w:styleId="2">
    <w:name w:val="heading 1"/>
    <w:basedOn w:val="1"/>
    <w:next w:val="1"/>
    <w:link w:val="22"/>
    <w:qFormat/>
    <w:uiPriority w:val="9"/>
    <w:pPr>
      <w:spacing w:beforeAutospacing="1" w:afterAutospacing="1"/>
      <w:outlineLvl w:val="0"/>
    </w:pPr>
    <w:rPr>
      <w:rFonts w:eastAsia="Times New Roman" w:cs="Times New Roman"/>
      <w:b/>
      <w:bCs/>
      <w:kern w:val="2"/>
      <w:sz w:val="48"/>
      <w:szCs w:val="48"/>
    </w:rPr>
  </w:style>
  <w:style w:type="paragraph" w:styleId="3">
    <w:name w:val="heading 2"/>
    <w:basedOn w:val="1"/>
    <w:next w:val="1"/>
    <w:link w:val="41"/>
    <w:unhideWhenUsed/>
    <w:qFormat/>
    <w:uiPriority w:val="9"/>
    <w:pPr>
      <w:keepNext/>
      <w:tabs>
        <w:tab w:val="left" w:pos="567"/>
        <w:tab w:val="left" w:pos="680"/>
      </w:tabs>
      <w:spacing w:before="240"/>
      <w:ind w:firstLine="0"/>
      <w:outlineLvl w:val="1"/>
    </w:pPr>
    <w:rPr>
      <w:rFonts w:eastAsia="Times New Roman" w:cs="Times New Roman"/>
      <w:b/>
      <w:bCs/>
      <w:iCs/>
      <w:szCs w:val="28"/>
    </w:rPr>
  </w:style>
  <w:style w:type="paragraph" w:styleId="4">
    <w:name w:val="heading 4"/>
    <w:basedOn w:val="1"/>
    <w:next w:val="1"/>
    <w:link w:val="23"/>
    <w:unhideWhenUsed/>
    <w:qFormat/>
    <w:uiPriority w:val="9"/>
    <w:pPr>
      <w:keepNext/>
      <w:keepLines/>
      <w:spacing w:before="200" w:after="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19"/>
    <w:semiHidden/>
    <w:unhideWhenUsed/>
    <w:qFormat/>
    <w:uiPriority w:val="99"/>
    <w:pPr>
      <w:spacing w:after="0"/>
    </w:pPr>
    <w:rPr>
      <w:rFonts w:ascii="Segoe UI" w:hAnsi="Segoe UI" w:cs="Segoe UI"/>
      <w:sz w:val="18"/>
      <w:szCs w:val="18"/>
    </w:rPr>
  </w:style>
  <w:style w:type="paragraph" w:styleId="8">
    <w:name w:val="Body Text"/>
    <w:basedOn w:val="1"/>
    <w:qFormat/>
    <w:uiPriority w:val="0"/>
    <w:pPr>
      <w:spacing w:after="140" w:line="276" w:lineRule="auto"/>
    </w:pPr>
  </w:style>
  <w:style w:type="paragraph" w:styleId="9">
    <w:name w:val="caption"/>
    <w:basedOn w:val="1"/>
    <w:next w:val="1"/>
    <w:qFormat/>
    <w:uiPriority w:val="0"/>
    <w:pPr>
      <w:suppressLineNumbers/>
      <w:spacing w:before="120"/>
    </w:pPr>
    <w:rPr>
      <w:rFonts w:cs="Lucida Sans"/>
      <w:i/>
      <w:iCs/>
      <w:szCs w:val="24"/>
    </w:rPr>
  </w:style>
  <w:style w:type="character" w:styleId="10">
    <w:name w:val="annotation reference"/>
    <w:basedOn w:val="5"/>
    <w:unhideWhenUsed/>
    <w:qFormat/>
    <w:uiPriority w:val="99"/>
    <w:rPr>
      <w:sz w:val="16"/>
      <w:szCs w:val="16"/>
    </w:rPr>
  </w:style>
  <w:style w:type="paragraph" w:styleId="11">
    <w:name w:val="annotation text"/>
    <w:basedOn w:val="1"/>
    <w:link w:val="25"/>
    <w:semiHidden/>
    <w:unhideWhenUsed/>
    <w:qFormat/>
    <w:uiPriority w:val="99"/>
    <w:rPr>
      <w:sz w:val="20"/>
      <w:szCs w:val="20"/>
    </w:rPr>
  </w:style>
  <w:style w:type="paragraph" w:styleId="12">
    <w:name w:val="annotation subject"/>
    <w:basedOn w:val="11"/>
    <w:next w:val="11"/>
    <w:link w:val="26"/>
    <w:semiHidden/>
    <w:unhideWhenUsed/>
    <w:qFormat/>
    <w:uiPriority w:val="99"/>
    <w:rPr>
      <w:b/>
      <w:bCs/>
    </w:rPr>
  </w:style>
  <w:style w:type="paragraph" w:styleId="13">
    <w:name w:val="footer"/>
    <w:basedOn w:val="1"/>
    <w:link w:val="21"/>
    <w:unhideWhenUsed/>
    <w:qFormat/>
    <w:uiPriority w:val="99"/>
    <w:pPr>
      <w:tabs>
        <w:tab w:val="center" w:pos="4680"/>
        <w:tab w:val="right" w:pos="9360"/>
      </w:tabs>
      <w:spacing w:after="0"/>
    </w:pPr>
  </w:style>
  <w:style w:type="paragraph" w:styleId="14">
    <w:name w:val="header"/>
    <w:basedOn w:val="1"/>
    <w:link w:val="20"/>
    <w:unhideWhenUsed/>
    <w:qFormat/>
    <w:uiPriority w:val="99"/>
    <w:pPr>
      <w:tabs>
        <w:tab w:val="center" w:pos="4680"/>
        <w:tab w:val="right" w:pos="9360"/>
      </w:tabs>
      <w:spacing w:after="0"/>
    </w:pPr>
  </w:style>
  <w:style w:type="character" w:styleId="15">
    <w:name w:val="Hyperlink"/>
    <w:basedOn w:val="5"/>
    <w:semiHidden/>
    <w:unhideWhenUsed/>
    <w:qFormat/>
    <w:uiPriority w:val="99"/>
    <w:rPr>
      <w:color w:val="0000FF"/>
      <w:u w:val="single"/>
    </w:rPr>
  </w:style>
  <w:style w:type="paragraph" w:styleId="16">
    <w:name w:val="List"/>
    <w:basedOn w:val="8"/>
    <w:qFormat/>
    <w:uiPriority w:val="0"/>
    <w:rPr>
      <w:rFonts w:cs="Lucida Sans"/>
    </w:rPr>
  </w:style>
  <w:style w:type="table" w:styleId="1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Legătură Internet"/>
    <w:basedOn w:val="5"/>
    <w:semiHidden/>
    <w:unhideWhenUsed/>
    <w:qFormat/>
    <w:uiPriority w:val="99"/>
    <w:rPr>
      <w:color w:val="0000FF"/>
      <w:u w:val="single"/>
    </w:rPr>
  </w:style>
  <w:style w:type="character" w:customStyle="1" w:styleId="19">
    <w:name w:val="Text în Balon Caracter"/>
    <w:basedOn w:val="5"/>
    <w:link w:val="7"/>
    <w:semiHidden/>
    <w:qFormat/>
    <w:uiPriority w:val="99"/>
    <w:rPr>
      <w:rFonts w:ascii="Segoe UI" w:hAnsi="Segoe UI" w:cs="Segoe UI"/>
      <w:sz w:val="18"/>
      <w:szCs w:val="18"/>
    </w:rPr>
  </w:style>
  <w:style w:type="character" w:customStyle="1" w:styleId="20">
    <w:name w:val="Antet Caracter"/>
    <w:basedOn w:val="5"/>
    <w:link w:val="14"/>
    <w:qFormat/>
    <w:uiPriority w:val="99"/>
  </w:style>
  <w:style w:type="character" w:customStyle="1" w:styleId="21">
    <w:name w:val="Subsol Caracter"/>
    <w:basedOn w:val="5"/>
    <w:link w:val="13"/>
    <w:qFormat/>
    <w:uiPriority w:val="99"/>
  </w:style>
  <w:style w:type="character" w:customStyle="1" w:styleId="22">
    <w:name w:val="Titlu 1 Caracter"/>
    <w:basedOn w:val="5"/>
    <w:link w:val="2"/>
    <w:qFormat/>
    <w:uiPriority w:val="9"/>
    <w:rPr>
      <w:rFonts w:ascii="Times New Roman" w:hAnsi="Times New Roman" w:eastAsia="Times New Roman" w:cs="Times New Roman"/>
      <w:b/>
      <w:bCs/>
      <w:kern w:val="2"/>
      <w:sz w:val="48"/>
      <w:szCs w:val="48"/>
    </w:rPr>
  </w:style>
  <w:style w:type="character" w:customStyle="1" w:styleId="23">
    <w:name w:val="Titlu 4 Caracter"/>
    <w:basedOn w:val="5"/>
    <w:link w:val="4"/>
    <w:qFormat/>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4">
    <w:name w:val="cmg"/>
    <w:basedOn w:val="5"/>
    <w:qFormat/>
    <w:uiPriority w:val="0"/>
  </w:style>
  <w:style w:type="character" w:customStyle="1" w:styleId="25">
    <w:name w:val="Text comentariu Caracter"/>
    <w:basedOn w:val="5"/>
    <w:link w:val="11"/>
    <w:semiHidden/>
    <w:qFormat/>
    <w:uiPriority w:val="99"/>
    <w:rPr>
      <w:rFonts w:eastAsiaTheme="minorHAnsi" w:cstheme="minorBidi"/>
      <w:lang w:eastAsia="en-US"/>
    </w:rPr>
  </w:style>
  <w:style w:type="character" w:customStyle="1" w:styleId="26">
    <w:name w:val="Subiect Comentariu Caracter"/>
    <w:basedOn w:val="25"/>
    <w:link w:val="12"/>
    <w:semiHidden/>
    <w:qFormat/>
    <w:uiPriority w:val="99"/>
    <w:rPr>
      <w:rFonts w:eastAsiaTheme="minorHAnsi" w:cstheme="minorBidi"/>
      <w:b/>
      <w:bCs/>
      <w:lang w:eastAsia="en-US"/>
    </w:rPr>
  </w:style>
  <w:style w:type="paragraph" w:customStyle="1" w:styleId="27">
    <w:name w:val="Stil titlu"/>
    <w:basedOn w:val="1"/>
    <w:next w:val="8"/>
    <w:qFormat/>
    <w:uiPriority w:val="0"/>
    <w:pPr>
      <w:keepNext/>
      <w:spacing w:before="240"/>
    </w:pPr>
    <w:rPr>
      <w:rFonts w:ascii="Liberation Sans" w:hAnsi="Liberation Sans" w:eastAsia="Microsoft YaHei" w:cs="Lucida Sans"/>
      <w:sz w:val="28"/>
      <w:szCs w:val="28"/>
    </w:rPr>
  </w:style>
  <w:style w:type="paragraph" w:customStyle="1" w:styleId="28">
    <w:name w:val="Index"/>
    <w:basedOn w:val="1"/>
    <w:qFormat/>
    <w:uiPriority w:val="0"/>
    <w:pPr>
      <w:suppressLineNumbers/>
    </w:pPr>
    <w:rPr>
      <w:rFonts w:cs="Lucida Sans"/>
    </w:rPr>
  </w:style>
  <w:style w:type="paragraph" w:customStyle="1" w:styleId="29">
    <w:name w:val="Header and Footer"/>
    <w:basedOn w:val="1"/>
    <w:qFormat/>
    <w:uiPriority w:val="0"/>
  </w:style>
  <w:style w:type="paragraph" w:styleId="30">
    <w:name w:val="List Paragraph"/>
    <w:basedOn w:val="1"/>
    <w:qFormat/>
    <w:uiPriority w:val="34"/>
    <w:pPr>
      <w:spacing w:after="200" w:line="276" w:lineRule="auto"/>
      <w:ind w:left="720"/>
      <w:contextualSpacing/>
    </w:pPr>
  </w:style>
  <w:style w:type="paragraph" w:customStyle="1" w:styleId="31">
    <w:name w:val="a_l"/>
    <w:basedOn w:val="1"/>
    <w:qFormat/>
    <w:uiPriority w:val="0"/>
    <w:pPr>
      <w:spacing w:beforeAutospacing="1" w:afterAutospacing="1"/>
    </w:pPr>
    <w:rPr>
      <w:rFonts w:eastAsia="Times New Roman" w:cs="Times New Roman"/>
      <w:szCs w:val="24"/>
    </w:rPr>
  </w:style>
  <w:style w:type="paragraph" w:styleId="32">
    <w:name w:val="No Spacing"/>
    <w:qFormat/>
    <w:uiPriority w:val="1"/>
    <w:pPr>
      <w:suppressAutoHyphens/>
    </w:pPr>
    <w:rPr>
      <w:rFonts w:ascii="Times New Roman" w:hAnsi="Times New Roman" w:eastAsiaTheme="minorHAnsi" w:cstheme="minorBidi"/>
      <w:sz w:val="22"/>
      <w:szCs w:val="22"/>
      <w:lang w:val="ro-RO" w:eastAsia="en-US" w:bidi="ar-SA"/>
    </w:rPr>
  </w:style>
  <w:style w:type="paragraph" w:customStyle="1" w:styleId="33">
    <w:name w:val="Numar"/>
    <w:basedOn w:val="30"/>
    <w:next w:val="1"/>
    <w:qFormat/>
    <w:uiPriority w:val="0"/>
    <w:pPr>
      <w:numPr>
        <w:ilvl w:val="0"/>
        <w:numId w:val="1"/>
      </w:numPr>
      <w:tabs>
        <w:tab w:val="left" w:pos="426"/>
      </w:tabs>
      <w:spacing w:before="120" w:after="120" w:line="240" w:lineRule="auto"/>
    </w:pPr>
    <w:rPr>
      <w:rFonts w:cs="Times New Roman"/>
      <w:lang w:eastAsia="ro-RO"/>
    </w:rPr>
  </w:style>
  <w:style w:type="paragraph" w:customStyle="1" w:styleId="34">
    <w:name w:val="Aliniat"/>
    <w:basedOn w:val="1"/>
    <w:qFormat/>
    <w:uiPriority w:val="0"/>
    <w:pPr>
      <w:numPr>
        <w:ilvl w:val="0"/>
        <w:numId w:val="2"/>
      </w:numPr>
    </w:pPr>
    <w:rPr>
      <w:rFonts w:eastAsia="Calibri" w:cs="Times New Roman"/>
    </w:rPr>
  </w:style>
  <w:style w:type="paragraph" w:customStyle="1" w:styleId="35">
    <w:name w:val="Articol"/>
    <w:basedOn w:val="1"/>
    <w:qFormat/>
    <w:uiPriority w:val="0"/>
    <w:pPr>
      <w:numPr>
        <w:ilvl w:val="0"/>
        <w:numId w:val="3"/>
      </w:numPr>
      <w:spacing w:before="60" w:after="60"/>
    </w:pPr>
    <w:rPr>
      <w:rFonts w:eastAsia="Calibri" w:cs="Times New Roman"/>
    </w:rPr>
  </w:style>
  <w:style w:type="paragraph" w:customStyle="1" w:styleId="36">
    <w:name w:val="Litera"/>
    <w:basedOn w:val="1"/>
    <w:qFormat/>
    <w:uiPriority w:val="0"/>
    <w:pPr>
      <w:tabs>
        <w:tab w:val="left" w:pos="0"/>
        <w:tab w:val="left" w:pos="940"/>
      </w:tabs>
      <w:contextualSpacing/>
    </w:pPr>
    <w:rPr>
      <w:rFonts w:eastAsia="Calibri" w:cs="Times New Roman"/>
    </w:rPr>
  </w:style>
  <w:style w:type="paragraph" w:customStyle="1" w:styleId="37">
    <w:name w:val="Articol1"/>
    <w:basedOn w:val="1"/>
    <w:qFormat/>
    <w:uiPriority w:val="0"/>
    <w:pPr>
      <w:tabs>
        <w:tab w:val="left" w:pos="0"/>
      </w:tabs>
    </w:pPr>
  </w:style>
  <w:style w:type="paragraph" w:customStyle="1" w:styleId="38">
    <w:name w:val="Capitol"/>
    <w:basedOn w:val="2"/>
    <w:next w:val="1"/>
    <w:qFormat/>
    <w:uiPriority w:val="0"/>
    <w:pPr>
      <w:spacing w:before="120" w:beforeAutospacing="0" w:afterAutospacing="0"/>
      <w:jc w:val="left"/>
    </w:pPr>
    <w:rPr>
      <w:sz w:val="24"/>
    </w:rPr>
  </w:style>
  <w:style w:type="paragraph" w:customStyle="1" w:styleId="39">
    <w:name w:val="i_litera"/>
    <w:basedOn w:val="30"/>
    <w:qFormat/>
    <w:uiPriority w:val="0"/>
    <w:pPr>
      <w:tabs>
        <w:tab w:val="left" w:pos="360"/>
      </w:tabs>
      <w:spacing w:before="60" w:after="60" w:line="240" w:lineRule="auto"/>
      <w:ind w:firstLine="0"/>
    </w:pPr>
    <w:rPr>
      <w:rFonts w:eastAsia="Calibri" w:cs="Times New Roman"/>
    </w:rPr>
  </w:style>
  <w:style w:type="table" w:customStyle="1" w:styleId="40">
    <w:name w:val="Tabel grilă1"/>
    <w:basedOn w:val="6"/>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Titlu 2 Caracter"/>
    <w:basedOn w:val="5"/>
    <w:link w:val="3"/>
    <w:qFormat/>
    <w:uiPriority w:val="9"/>
    <w:rPr>
      <w:rFonts w:eastAsia="Times New Roman"/>
      <w:b/>
      <w:bCs/>
      <w:iCs/>
      <w:sz w:val="24"/>
      <w:szCs w:val="28"/>
      <w:lang w:eastAsia="en-US"/>
    </w:rPr>
  </w:style>
  <w:style w:type="paragraph" w:customStyle="1" w:styleId="42">
    <w:name w:val="Titlu 31"/>
    <w:basedOn w:val="1"/>
    <w:next w:val="1"/>
    <w:unhideWhenUsed/>
    <w:qFormat/>
    <w:uiPriority w:val="9"/>
    <w:pPr>
      <w:keepNext/>
      <w:keepLines/>
      <w:tabs>
        <w:tab w:val="left" w:pos="0"/>
        <w:tab w:val="left" w:pos="851"/>
      </w:tabs>
      <w:spacing w:before="60" w:after="60" w:line="259" w:lineRule="auto"/>
      <w:ind w:left="2160" w:hanging="180"/>
      <w:outlineLvl w:val="2"/>
    </w:pPr>
    <w:rPr>
      <w:rFonts w:eastAsia="Malgun Gothic" w:cs="Times New Roman"/>
      <w:b/>
      <w:bCs/>
      <w:i/>
      <w:szCs w:val="24"/>
    </w:rPr>
  </w:style>
  <w:style w:type="paragraph" w:customStyle="1" w:styleId="43">
    <w:name w:val="Titlu 51"/>
    <w:basedOn w:val="1"/>
    <w:next w:val="1"/>
    <w:unhideWhenUsed/>
    <w:qFormat/>
    <w:uiPriority w:val="9"/>
    <w:pPr>
      <w:tabs>
        <w:tab w:val="left" w:pos="0"/>
        <w:tab w:val="left" w:pos="426"/>
      </w:tabs>
      <w:spacing w:before="120" w:after="60" w:line="259" w:lineRule="auto"/>
      <w:ind w:left="3600" w:hanging="360"/>
      <w:contextualSpacing/>
      <w:outlineLvl w:val="4"/>
    </w:pPr>
    <w:rPr>
      <w:rFonts w:eastAsia="Malgun Gothic" w:cs="Times New Roman"/>
      <w:szCs w:val="24"/>
      <w:u w:val="single"/>
    </w:rPr>
  </w:style>
  <w:style w:type="table" w:customStyle="1" w:styleId="44">
    <w:name w:val="Tabel grilă11"/>
    <w:basedOn w:val="6"/>
    <w:qFormat/>
    <w:uiPriority w:val="59"/>
    <w:rPr>
      <w:rFonts w:ascii="Calibri" w:hAnsi="Calibri" w:eastAsia="Malgun Gothic"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
    <w:name w:val="Style Times New Roman"/>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FDC4F-1530-474C-A5B1-86B237637161}">
  <ds:schemaRefs/>
</ds:datastoreItem>
</file>

<file path=docProps/app.xml><?xml version="1.0" encoding="utf-8"?>
<Properties xmlns="http://schemas.openxmlformats.org/officeDocument/2006/extended-properties" xmlns:vt="http://schemas.openxmlformats.org/officeDocument/2006/docPropsVTypes">
  <Template>Normal</Template>
  <Pages>6</Pages>
  <Words>2197</Words>
  <Characters>14245</Characters>
  <Lines>30</Lines>
  <Paragraphs>8</Paragraphs>
  <TotalTime>16</TotalTime>
  <ScaleCrop>false</ScaleCrop>
  <LinksUpToDate>false</LinksUpToDate>
  <CharactersWithSpaces>16140</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2021-10-28T13:40:00Z</dcterms:created>
  <dc:creator>Windows User</dc:creator>
  <cp:lastModifiedBy>Nicolae Gușu</cp:lastModifiedBy>
  <cp:lastPrinted>2023-10-20T09:21:00Z</cp:lastPrinted>
  <dcterms:modified xsi:type="dcterms:W3CDTF">2023-11-16T08:36:43Z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E82F9DAB5C084F1ABF378C655D5AC130_13</vt:lpwstr>
  </property>
</Properties>
</file>